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5FD6" w14:textId="691135A3" w:rsidR="00E45CA1" w:rsidRDefault="00672B8B" w:rsidP="000E575C">
      <w:pPr>
        <w:pStyle w:val="Titel"/>
      </w:pPr>
      <w:r>
        <w:t>Supplementary Materials</w:t>
      </w:r>
    </w:p>
    <w:p w14:paraId="44E70E6C" w14:textId="3C700278" w:rsidR="0081119B" w:rsidRPr="000E575C" w:rsidRDefault="0081119B" w:rsidP="000E575C">
      <w:pPr>
        <w:pStyle w:val="Kop1"/>
      </w:pPr>
      <w:r w:rsidRPr="000E575C">
        <w:t>Supplementary Methods</w:t>
      </w:r>
    </w:p>
    <w:p w14:paraId="57D24E66" w14:textId="77777777" w:rsidR="000E575C" w:rsidRPr="00077D72" w:rsidRDefault="000E575C" w:rsidP="000E575C">
      <w:pPr>
        <w:pStyle w:val="Kop2"/>
      </w:pPr>
      <w:r w:rsidRPr="00077D72">
        <w:t>Mice</w:t>
      </w:r>
    </w:p>
    <w:p w14:paraId="3A168FBF" w14:textId="0E95736C" w:rsidR="000E575C" w:rsidRDefault="000E575C" w:rsidP="000E575C">
      <w:pPr>
        <w:pStyle w:val="Paragraph"/>
        <w:ind w:firstLine="0"/>
        <w:rPr>
          <w:rFonts w:asciiTheme="majorBidi" w:hAnsiTheme="majorBidi" w:cstheme="majorBidi"/>
        </w:rPr>
      </w:pPr>
      <w:proofErr w:type="spellStart"/>
      <w:r w:rsidRPr="00077D72">
        <w:rPr>
          <w:rFonts w:asciiTheme="majorBidi" w:hAnsiTheme="majorBidi" w:cstheme="majorBidi"/>
          <w:i/>
          <w:iCs/>
        </w:rPr>
        <w:t>NOD.Cg-Prkdc</w:t>
      </w:r>
      <w:r w:rsidRPr="00077D72">
        <w:rPr>
          <w:rFonts w:asciiTheme="majorBidi" w:hAnsiTheme="majorBidi" w:cstheme="majorBidi"/>
          <w:i/>
          <w:iCs/>
          <w:vertAlign w:val="superscript"/>
        </w:rPr>
        <w:t>scid</w:t>
      </w:r>
      <w:proofErr w:type="spellEnd"/>
      <w:r w:rsidRPr="00077D72">
        <w:rPr>
          <w:rFonts w:asciiTheme="majorBidi" w:hAnsiTheme="majorBidi" w:cstheme="majorBidi"/>
          <w:i/>
          <w:iCs/>
        </w:rPr>
        <w:t xml:space="preserve"> Il2rg</w:t>
      </w:r>
      <w:r w:rsidRPr="00077D72">
        <w:rPr>
          <w:rFonts w:asciiTheme="majorBidi" w:hAnsiTheme="majorBidi" w:cstheme="majorBidi"/>
          <w:i/>
          <w:iCs/>
          <w:vertAlign w:val="superscript"/>
        </w:rPr>
        <w:t>tm1Wjl</w:t>
      </w:r>
      <w:r w:rsidRPr="00077D72">
        <w:rPr>
          <w:rFonts w:asciiTheme="majorBidi" w:hAnsiTheme="majorBidi" w:cstheme="majorBidi"/>
          <w:i/>
          <w:iCs/>
        </w:rPr>
        <w:t>/</w:t>
      </w:r>
      <w:proofErr w:type="spellStart"/>
      <w:r w:rsidRPr="00077D72">
        <w:rPr>
          <w:rFonts w:asciiTheme="majorBidi" w:hAnsiTheme="majorBidi" w:cstheme="majorBidi"/>
          <w:i/>
          <w:iCs/>
        </w:rPr>
        <w:t>Sz</w:t>
      </w:r>
      <w:proofErr w:type="spellEnd"/>
      <w:r w:rsidRPr="00077D72">
        <w:rPr>
          <w:rFonts w:asciiTheme="majorBidi" w:hAnsiTheme="majorBidi" w:cstheme="majorBidi"/>
        </w:rPr>
        <w:t xml:space="preserve"> (NSG, #005557) mice were obtained from The Jackson Laboratories (Bar </w:t>
      </w:r>
      <w:proofErr w:type="spellStart"/>
      <w:r w:rsidRPr="00077D72">
        <w:rPr>
          <w:rFonts w:asciiTheme="majorBidi" w:hAnsiTheme="majorBidi" w:cstheme="majorBidi"/>
        </w:rPr>
        <w:t>Harbour</w:t>
      </w:r>
      <w:proofErr w:type="spellEnd"/>
      <w:r w:rsidRPr="00077D72">
        <w:rPr>
          <w:rFonts w:asciiTheme="majorBidi" w:hAnsiTheme="majorBidi" w:cstheme="majorBidi"/>
        </w:rPr>
        <w:t xml:space="preserve">, ME, United States) and were maintained in specific-pathogen free conditions. Mice were age- and sex-matched. The study protocol was approved by the Brigham and Women’s Hospital Institutional Animal Care and Use Committee (IACUC). </w:t>
      </w:r>
    </w:p>
    <w:p w14:paraId="08F0D5B9" w14:textId="77777777" w:rsidR="000E575C" w:rsidRPr="00077D72" w:rsidRDefault="000E575C" w:rsidP="000E575C">
      <w:pPr>
        <w:pStyle w:val="Kop2"/>
      </w:pPr>
      <w:r w:rsidRPr="00077D72">
        <w:t>Isolation of cells</w:t>
      </w:r>
    </w:p>
    <w:p w14:paraId="1A43C8BD" w14:textId="77777777" w:rsidR="000E575C" w:rsidRDefault="000E575C" w:rsidP="000E575C">
      <w:pPr>
        <w:pStyle w:val="Paragraph"/>
        <w:ind w:firstLine="0"/>
        <w:rPr>
          <w:rFonts w:asciiTheme="majorBidi" w:hAnsiTheme="majorBidi" w:cstheme="majorBidi"/>
        </w:rPr>
      </w:pPr>
      <w:r w:rsidRPr="00077D72">
        <w:rPr>
          <w:rFonts w:asciiTheme="majorBidi" w:hAnsiTheme="majorBidi" w:cstheme="majorBidi"/>
        </w:rPr>
        <w:t>PBMCs were isolated within 24 hours</w:t>
      </w:r>
      <w:r w:rsidRPr="00077D72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>using</w:t>
      </w:r>
      <w:r w:rsidRPr="00077D72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077D72">
        <w:rPr>
          <w:rFonts w:asciiTheme="majorBidi" w:hAnsiTheme="majorBidi" w:cstheme="majorBidi"/>
          <w:lang w:val="en-GB"/>
        </w:rPr>
        <w:t>SepMate</w:t>
      </w:r>
      <w:proofErr w:type="spellEnd"/>
      <w:r w:rsidRPr="00077D72">
        <w:rPr>
          <w:rFonts w:asciiTheme="majorBidi" w:hAnsiTheme="majorBidi" w:cstheme="majorBidi"/>
          <w:lang w:val="en-GB"/>
        </w:rPr>
        <w:t xml:space="preserve"> tubes (#85450, STEMCELL Technologies) </w:t>
      </w:r>
      <w:r>
        <w:rPr>
          <w:rFonts w:asciiTheme="majorBidi" w:hAnsiTheme="majorBidi" w:cstheme="majorBidi"/>
          <w:lang w:val="en-GB"/>
        </w:rPr>
        <w:t>and</w:t>
      </w:r>
      <w:r w:rsidRPr="00077D72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077D72">
        <w:rPr>
          <w:rFonts w:asciiTheme="majorBidi" w:hAnsiTheme="majorBidi" w:cstheme="majorBidi"/>
          <w:lang w:val="en-GB"/>
        </w:rPr>
        <w:t>Lymphoprep</w:t>
      </w:r>
      <w:proofErr w:type="spellEnd"/>
      <w:r w:rsidRPr="00077D72">
        <w:rPr>
          <w:rFonts w:asciiTheme="majorBidi" w:hAnsiTheme="majorBidi" w:cstheme="majorBidi"/>
          <w:lang w:val="en-GB"/>
        </w:rPr>
        <w:t xml:space="preserve"> density gradient medium centrifugation at 800</w:t>
      </w:r>
      <w:r>
        <w:rPr>
          <w:rFonts w:asciiTheme="majorBidi" w:hAnsiTheme="majorBidi" w:cstheme="majorBidi"/>
          <w:lang w:val="en-GB"/>
        </w:rPr>
        <w:t xml:space="preserve">× </w:t>
      </w:r>
      <w:r w:rsidRPr="005A3C7B">
        <w:rPr>
          <w:rFonts w:asciiTheme="majorBidi" w:hAnsiTheme="majorBidi" w:cstheme="majorBidi"/>
          <w:i/>
          <w:iCs/>
          <w:lang w:val="en-GB"/>
        </w:rPr>
        <w:t>g</w:t>
      </w:r>
      <w:r w:rsidRPr="00077D72">
        <w:rPr>
          <w:rFonts w:asciiTheme="majorBidi" w:hAnsiTheme="majorBidi" w:cstheme="majorBidi"/>
          <w:lang w:val="en-GB"/>
        </w:rPr>
        <w:t xml:space="preserve"> for 30 minutes. </w:t>
      </w:r>
      <w:r w:rsidRPr="00077D72">
        <w:rPr>
          <w:rFonts w:asciiTheme="majorBidi" w:hAnsiTheme="majorBidi" w:cstheme="majorBidi"/>
        </w:rPr>
        <w:t>Human T</w:t>
      </w:r>
      <w:r w:rsidRPr="00077D72">
        <w:rPr>
          <w:rFonts w:asciiTheme="majorBidi" w:hAnsiTheme="majorBidi" w:cstheme="majorBidi"/>
          <w:vertAlign w:val="subscript"/>
        </w:rPr>
        <w:t>regs</w:t>
      </w:r>
      <w:r w:rsidRPr="00077D72">
        <w:rPr>
          <w:rFonts w:asciiTheme="majorBidi" w:hAnsiTheme="majorBidi" w:cstheme="majorBidi"/>
        </w:rPr>
        <w:t xml:space="preserve"> and </w:t>
      </w:r>
      <w:r>
        <w:rPr>
          <w:rFonts w:asciiTheme="majorBidi" w:hAnsiTheme="majorBidi" w:cstheme="majorBidi"/>
        </w:rPr>
        <w:t xml:space="preserve">conventional </w:t>
      </w:r>
      <w:r w:rsidRPr="00077D72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 xml:space="preserve"> cells (</w:t>
      </w:r>
      <w:r w:rsidRPr="00077D72">
        <w:rPr>
          <w:rFonts w:asciiTheme="majorBidi" w:hAnsiTheme="majorBidi" w:cstheme="majorBidi"/>
        </w:rPr>
        <w:t>CD4</w:t>
      </w:r>
      <w:r w:rsidRPr="00077D72">
        <w:rPr>
          <w:rFonts w:asciiTheme="majorBidi" w:hAnsiTheme="majorBidi" w:cstheme="majorBidi"/>
          <w:vertAlign w:val="superscript"/>
        </w:rPr>
        <w:t>+</w:t>
      </w:r>
      <w:r w:rsidRPr="00077D72">
        <w:rPr>
          <w:rFonts w:asciiTheme="majorBidi" w:hAnsiTheme="majorBidi" w:cstheme="majorBidi"/>
        </w:rPr>
        <w:t>CD25</w:t>
      </w:r>
      <w:r w:rsidRPr="00077D72">
        <w:rPr>
          <w:rFonts w:asciiTheme="majorBidi" w:hAnsiTheme="majorBidi" w:cstheme="majorBidi"/>
          <w:vertAlign w:val="superscript"/>
        </w:rPr>
        <w:t>hi</w:t>
      </w:r>
      <w:r w:rsidRPr="00077D72">
        <w:rPr>
          <w:rFonts w:asciiTheme="majorBidi" w:hAnsiTheme="majorBidi" w:cstheme="majorBidi"/>
        </w:rPr>
        <w:t>CD127</w:t>
      </w:r>
      <w:r w:rsidRPr="00077D72">
        <w:rPr>
          <w:rFonts w:asciiTheme="majorBidi" w:hAnsiTheme="majorBidi" w:cstheme="majorBidi"/>
          <w:vertAlign w:val="superscript"/>
        </w:rPr>
        <w:t>lo</w:t>
      </w:r>
      <w:r w:rsidRPr="00077D72">
        <w:rPr>
          <w:rFonts w:asciiTheme="majorBidi" w:hAnsiTheme="majorBidi" w:cstheme="majorBidi"/>
        </w:rPr>
        <w:t xml:space="preserve"> T</w:t>
      </w:r>
      <w:r w:rsidRPr="00077D72">
        <w:rPr>
          <w:rFonts w:asciiTheme="majorBidi" w:hAnsiTheme="majorBidi" w:cstheme="majorBidi"/>
          <w:vertAlign w:val="subscript"/>
        </w:rPr>
        <w:t xml:space="preserve">regs </w:t>
      </w:r>
      <w:r w:rsidRPr="00077D72">
        <w:rPr>
          <w:rFonts w:asciiTheme="majorBidi" w:hAnsiTheme="majorBidi" w:cstheme="majorBidi"/>
        </w:rPr>
        <w:t>and CD4</w:t>
      </w:r>
      <w:r w:rsidRPr="00077D72">
        <w:rPr>
          <w:rFonts w:asciiTheme="majorBidi" w:hAnsiTheme="majorBidi" w:cstheme="majorBidi"/>
          <w:vertAlign w:val="superscript"/>
        </w:rPr>
        <w:t>+</w:t>
      </w:r>
      <w:r w:rsidRPr="00077D72">
        <w:rPr>
          <w:rFonts w:asciiTheme="majorBidi" w:hAnsiTheme="majorBidi" w:cstheme="majorBidi"/>
        </w:rPr>
        <w:t>CD25</w:t>
      </w:r>
      <w:r w:rsidRPr="00077D72">
        <w:rPr>
          <w:rFonts w:asciiTheme="majorBidi" w:hAnsiTheme="majorBidi" w:cstheme="majorBidi"/>
          <w:vertAlign w:val="superscript"/>
        </w:rPr>
        <w:t>-</w:t>
      </w:r>
      <w:r w:rsidRPr="00077D72">
        <w:rPr>
          <w:rFonts w:asciiTheme="majorBidi" w:hAnsiTheme="majorBidi" w:cstheme="majorBidi"/>
        </w:rPr>
        <w:t xml:space="preserve"> T</w:t>
      </w:r>
      <w:r w:rsidRPr="00077D72">
        <w:rPr>
          <w:rFonts w:asciiTheme="majorBidi" w:hAnsiTheme="majorBidi" w:cstheme="majorBidi"/>
          <w:vertAlign w:val="subscript"/>
        </w:rPr>
        <w:t>cons</w:t>
      </w:r>
      <w:r>
        <w:rPr>
          <w:rFonts w:asciiTheme="majorBidi" w:hAnsiTheme="majorBidi" w:cstheme="majorBidi"/>
        </w:rPr>
        <w:t xml:space="preserve">, respectively) </w:t>
      </w:r>
      <w:r w:rsidRPr="00077D72">
        <w:rPr>
          <w:rFonts w:asciiTheme="majorBidi" w:hAnsiTheme="majorBidi" w:cstheme="majorBidi"/>
        </w:rPr>
        <w:t xml:space="preserve">were isolated from leukapheresed peripheral blood of a healthy donor using either a MACS-based (#130-094-775, </w:t>
      </w:r>
      <w:proofErr w:type="spellStart"/>
      <w:r w:rsidRPr="00077D72">
        <w:rPr>
          <w:rFonts w:asciiTheme="majorBidi" w:hAnsiTheme="majorBidi" w:cstheme="majorBidi"/>
        </w:rPr>
        <w:t>Miltenyi</w:t>
      </w:r>
      <w:proofErr w:type="spellEnd"/>
      <w:r w:rsidRPr="00077D72">
        <w:rPr>
          <w:rFonts w:asciiTheme="majorBidi" w:hAnsiTheme="majorBidi" w:cstheme="majorBidi"/>
        </w:rPr>
        <w:t xml:space="preserve"> </w:t>
      </w:r>
      <w:proofErr w:type="spellStart"/>
      <w:r w:rsidRPr="00077D72">
        <w:rPr>
          <w:rFonts w:asciiTheme="majorBidi" w:hAnsiTheme="majorBidi" w:cstheme="majorBidi"/>
        </w:rPr>
        <w:t>Biotec</w:t>
      </w:r>
      <w:proofErr w:type="spellEnd"/>
      <w:r w:rsidRPr="00077D72">
        <w:rPr>
          <w:rFonts w:asciiTheme="majorBidi" w:hAnsiTheme="majorBidi" w:cstheme="majorBidi"/>
        </w:rPr>
        <w:t xml:space="preserve">) or </w:t>
      </w:r>
      <w:proofErr w:type="spellStart"/>
      <w:r w:rsidRPr="00077D72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asy</w:t>
      </w:r>
      <w:r w:rsidRPr="00077D72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ep</w:t>
      </w:r>
      <w:proofErr w:type="spellEnd"/>
      <w:r w:rsidRPr="00077D72">
        <w:rPr>
          <w:rFonts w:asciiTheme="majorBidi" w:hAnsiTheme="majorBidi" w:cstheme="majorBidi"/>
        </w:rPr>
        <w:t>-based (</w:t>
      </w:r>
      <w:r>
        <w:rPr>
          <w:rFonts w:asciiTheme="majorBidi" w:hAnsiTheme="majorBidi" w:cstheme="majorBidi"/>
        </w:rPr>
        <w:t>#</w:t>
      </w:r>
      <w:r w:rsidRPr="00555C71">
        <w:rPr>
          <w:rFonts w:asciiTheme="majorBidi" w:hAnsiTheme="majorBidi" w:cstheme="majorBidi"/>
        </w:rPr>
        <w:t>18063</w:t>
      </w:r>
      <w:r>
        <w:rPr>
          <w:rFonts w:asciiTheme="majorBidi" w:hAnsiTheme="majorBidi" w:cstheme="majorBidi"/>
        </w:rPr>
        <w:t xml:space="preserve">, </w:t>
      </w:r>
      <w:proofErr w:type="spellStart"/>
      <w:r w:rsidRPr="00077D72">
        <w:rPr>
          <w:rFonts w:asciiTheme="majorBidi" w:hAnsiTheme="majorBidi" w:cstheme="majorBidi"/>
        </w:rPr>
        <w:t>Stemcell</w:t>
      </w:r>
      <w:proofErr w:type="spellEnd"/>
      <w:r w:rsidRPr="00077D72">
        <w:rPr>
          <w:rFonts w:asciiTheme="majorBidi" w:hAnsiTheme="majorBidi" w:cstheme="majorBidi"/>
        </w:rPr>
        <w:t xml:space="preserve"> Technologies) approach as per </w:t>
      </w:r>
      <w:r>
        <w:rPr>
          <w:rFonts w:asciiTheme="majorBidi" w:hAnsiTheme="majorBidi" w:cstheme="majorBidi"/>
        </w:rPr>
        <w:t xml:space="preserve">the </w:t>
      </w:r>
      <w:r w:rsidRPr="00077D72">
        <w:rPr>
          <w:rFonts w:asciiTheme="majorBidi" w:hAnsiTheme="majorBidi" w:cstheme="majorBidi"/>
        </w:rPr>
        <w:t xml:space="preserve">manufacturer’s </w:t>
      </w:r>
      <w:r>
        <w:rPr>
          <w:rFonts w:asciiTheme="majorBidi" w:hAnsiTheme="majorBidi" w:cstheme="majorBidi"/>
        </w:rPr>
        <w:t>instructions</w:t>
      </w:r>
      <w:r w:rsidRPr="00077D72">
        <w:rPr>
          <w:rFonts w:asciiTheme="majorBidi" w:hAnsiTheme="majorBidi" w:cstheme="majorBidi"/>
        </w:rPr>
        <w:t>.</w:t>
      </w:r>
    </w:p>
    <w:p w14:paraId="3C4FADF9" w14:textId="77777777" w:rsidR="000E575C" w:rsidRPr="00077D72" w:rsidRDefault="000E575C" w:rsidP="000E575C">
      <w:pPr>
        <w:pStyle w:val="Kop2"/>
      </w:pPr>
      <w:bookmarkStart w:id="0" w:name="_Toc2508848"/>
      <w:r>
        <w:t>Humanized s</w:t>
      </w:r>
      <w:r w:rsidRPr="00077D72">
        <w:t>kin transplant model</w:t>
      </w:r>
      <w:bookmarkEnd w:id="0"/>
    </w:p>
    <w:p w14:paraId="57D1EDB7" w14:textId="77777777" w:rsidR="000E575C" w:rsidRDefault="000E575C" w:rsidP="000E575C">
      <w:pPr>
        <w:rPr>
          <w:rFonts w:asciiTheme="majorBidi" w:hAnsiTheme="majorBidi" w:cstheme="majorBidi"/>
        </w:rPr>
      </w:pPr>
      <w:r w:rsidRPr="00077D72">
        <w:rPr>
          <w:rFonts w:asciiTheme="majorBidi" w:hAnsiTheme="majorBidi" w:cstheme="majorBidi"/>
        </w:rPr>
        <w:t xml:space="preserve">Donated human skin </w:t>
      </w:r>
      <w:r>
        <w:rPr>
          <w:rFonts w:asciiTheme="majorBidi" w:hAnsiTheme="majorBidi" w:cstheme="majorBidi"/>
        </w:rPr>
        <w:t>allo</w:t>
      </w:r>
      <w:r w:rsidRPr="00077D72">
        <w:rPr>
          <w:rFonts w:asciiTheme="majorBidi" w:hAnsiTheme="majorBidi" w:cstheme="majorBidi"/>
        </w:rPr>
        <w:t xml:space="preserve">grafts from healthy donors undergoing cosmetic surgery were harvested and processed </w:t>
      </w:r>
      <w:r>
        <w:rPr>
          <w:rFonts w:asciiTheme="majorBidi" w:hAnsiTheme="majorBidi" w:cstheme="majorBidi"/>
        </w:rPr>
        <w:t xml:space="preserve">using </w:t>
      </w:r>
      <w:r w:rsidRPr="00077D72">
        <w:rPr>
          <w:rFonts w:asciiTheme="majorBidi" w:hAnsiTheme="majorBidi" w:cstheme="majorBidi"/>
        </w:rPr>
        <w:t xml:space="preserve">blunt-tipped forceps. Fur of recipient </w:t>
      </w:r>
      <w:r w:rsidRPr="005A1D49">
        <w:rPr>
          <w:rFonts w:asciiTheme="majorBidi" w:hAnsiTheme="majorBidi" w:cstheme="majorBidi"/>
        </w:rPr>
        <w:t>NOD-</w:t>
      </w:r>
      <w:proofErr w:type="spellStart"/>
      <w:r w:rsidRPr="005505FF">
        <w:rPr>
          <w:rFonts w:asciiTheme="majorBidi" w:hAnsiTheme="majorBidi" w:cstheme="majorBidi"/>
          <w:i/>
          <w:iCs/>
        </w:rPr>
        <w:t>scid</w:t>
      </w:r>
      <w:proofErr w:type="spellEnd"/>
      <w:r w:rsidRPr="005A1D49">
        <w:rPr>
          <w:rFonts w:asciiTheme="majorBidi" w:hAnsiTheme="majorBidi" w:cstheme="majorBidi"/>
        </w:rPr>
        <w:t xml:space="preserve"> IL-2 receptor-</w:t>
      </w:r>
      <w:proofErr w:type="spellStart"/>
      <w:r w:rsidRPr="005A1D49">
        <w:rPr>
          <w:rFonts w:asciiTheme="majorBidi" w:hAnsiTheme="majorBidi" w:cstheme="majorBidi"/>
        </w:rPr>
        <w:t>γ</w:t>
      </w:r>
      <w:r w:rsidRPr="005505FF">
        <w:rPr>
          <w:rFonts w:asciiTheme="majorBidi" w:hAnsiTheme="majorBidi" w:cstheme="majorBidi"/>
          <w:vertAlign w:val="superscript"/>
        </w:rPr>
        <w:t>null</w:t>
      </w:r>
      <w:proofErr w:type="spellEnd"/>
      <w:r w:rsidRPr="005A1D49">
        <w:rPr>
          <w:rFonts w:asciiTheme="majorBidi" w:hAnsiTheme="majorBidi" w:cstheme="majorBidi"/>
        </w:rPr>
        <w:t xml:space="preserve"> (NSG)</w:t>
      </w:r>
      <w:r w:rsidRPr="00077D72">
        <w:rPr>
          <w:rFonts w:asciiTheme="majorBidi" w:hAnsiTheme="majorBidi" w:cstheme="majorBidi"/>
        </w:rPr>
        <w:t xml:space="preserve"> mice were shave</w:t>
      </w:r>
      <w:r>
        <w:rPr>
          <w:rFonts w:asciiTheme="majorBidi" w:hAnsiTheme="majorBidi" w:cstheme="majorBidi"/>
        </w:rPr>
        <w:t>d</w:t>
      </w:r>
      <w:r w:rsidRPr="00077D72">
        <w:rPr>
          <w:rFonts w:asciiTheme="majorBidi" w:hAnsiTheme="majorBidi" w:cstheme="majorBidi"/>
        </w:rPr>
        <w:t>, 1.0-1.5</w:t>
      </w:r>
      <w:r>
        <w:rPr>
          <w:rFonts w:asciiTheme="majorBidi" w:hAnsiTheme="majorBidi" w:cstheme="majorBidi"/>
        </w:rPr>
        <w:t xml:space="preserve"> </w:t>
      </w:r>
      <w:r w:rsidRPr="00077D72">
        <w:rPr>
          <w:rFonts w:asciiTheme="majorBidi" w:hAnsiTheme="majorBidi" w:cstheme="majorBidi"/>
        </w:rPr>
        <w:t>cm</w:t>
      </w:r>
      <w:r w:rsidRPr="00077D72">
        <w:rPr>
          <w:rFonts w:asciiTheme="majorBidi" w:hAnsiTheme="majorBidi" w:cstheme="majorBidi"/>
          <w:vertAlign w:val="superscript"/>
        </w:rPr>
        <w:t>2</w:t>
      </w:r>
      <w:r w:rsidRPr="00077D72">
        <w:rPr>
          <w:rFonts w:asciiTheme="majorBidi" w:hAnsiTheme="majorBidi" w:cstheme="majorBidi"/>
        </w:rPr>
        <w:t xml:space="preserve"> of skin was excised from the dorsal trunk, </w:t>
      </w:r>
      <w:r>
        <w:rPr>
          <w:rFonts w:asciiTheme="majorBidi" w:hAnsiTheme="majorBidi" w:cstheme="majorBidi"/>
        </w:rPr>
        <w:t xml:space="preserve">and </w:t>
      </w:r>
      <w:r w:rsidRPr="00077D72">
        <w:rPr>
          <w:rFonts w:asciiTheme="majorBidi" w:hAnsiTheme="majorBidi" w:cstheme="majorBidi"/>
        </w:rPr>
        <w:t>the processed donor skin was sutured with PERMA-HAND 4-0 Silk Suture (#1677G, Ethicon)</w:t>
      </w:r>
      <w:r>
        <w:rPr>
          <w:rFonts w:asciiTheme="majorBidi" w:hAnsiTheme="majorBidi" w:cstheme="majorBidi"/>
        </w:rPr>
        <w:t>, allowing it to engraft for seven days</w:t>
      </w:r>
      <w:r w:rsidRPr="00077D72">
        <w:rPr>
          <w:rFonts w:asciiTheme="majorBidi" w:hAnsiTheme="majorBidi" w:cstheme="majorBidi"/>
        </w:rPr>
        <w:t>. Skin grafts were secured in place with dry gauze and bandaged.</w:t>
      </w:r>
    </w:p>
    <w:p w14:paraId="2B997187" w14:textId="77777777" w:rsidR="000E575C" w:rsidRPr="00077D72" w:rsidRDefault="000E575C" w:rsidP="000E575C">
      <w:pPr>
        <w:pStyle w:val="Kop2"/>
      </w:pPr>
      <w:bookmarkStart w:id="1" w:name="_Toc2508849"/>
      <w:r w:rsidRPr="00077D72">
        <w:t>Adoptive T</w:t>
      </w:r>
      <w:r w:rsidRPr="00077D72">
        <w:rPr>
          <w:vertAlign w:val="subscript"/>
        </w:rPr>
        <w:t>reg</w:t>
      </w:r>
      <w:r w:rsidRPr="00077D72">
        <w:t xml:space="preserve"> transfer model</w:t>
      </w:r>
      <w:bookmarkEnd w:id="1"/>
    </w:p>
    <w:p w14:paraId="38A51F09" w14:textId="25926E46" w:rsidR="000E575C" w:rsidRDefault="000E575C" w:rsidP="000E575C">
      <w:pPr>
        <w:rPr>
          <w:rFonts w:asciiTheme="majorBidi" w:hAnsiTheme="majorBidi" w:cstheme="majorBidi"/>
        </w:rPr>
      </w:pPr>
      <w:r w:rsidRPr="00077D72">
        <w:rPr>
          <w:rFonts w:asciiTheme="majorBidi" w:hAnsiTheme="majorBidi" w:cstheme="majorBidi"/>
        </w:rPr>
        <w:t>For the humanized adoptive transfer model, 5.0×10</w:t>
      </w:r>
      <w:r w:rsidRPr="00077D72">
        <w:rPr>
          <w:rFonts w:asciiTheme="majorBidi" w:hAnsiTheme="majorBidi" w:cstheme="majorBidi"/>
          <w:vertAlign w:val="superscript"/>
        </w:rPr>
        <w:t>6</w:t>
      </w:r>
      <w:r w:rsidRPr="00077D72">
        <w:rPr>
          <w:rFonts w:asciiTheme="majorBidi" w:hAnsiTheme="majorBidi" w:cstheme="majorBidi"/>
        </w:rPr>
        <w:t xml:space="preserve"> peripheral blood mononuclear cells (PBMCs) and 1.0×10</w:t>
      </w:r>
      <w:r w:rsidRPr="00077D72">
        <w:rPr>
          <w:rFonts w:asciiTheme="majorBidi" w:hAnsiTheme="majorBidi" w:cstheme="majorBidi"/>
          <w:vertAlign w:val="superscript"/>
        </w:rPr>
        <w:t>6</w:t>
      </w:r>
      <w:r w:rsidRPr="00077D72">
        <w:rPr>
          <w:rFonts w:asciiTheme="majorBidi" w:hAnsiTheme="majorBidi" w:cstheme="majorBidi"/>
        </w:rPr>
        <w:t xml:space="preserve"> T</w:t>
      </w:r>
      <w:r w:rsidRPr="00077D72">
        <w:rPr>
          <w:rFonts w:asciiTheme="majorBidi" w:hAnsiTheme="majorBidi" w:cstheme="majorBidi"/>
          <w:vertAlign w:val="subscript"/>
        </w:rPr>
        <w:t>regs</w:t>
      </w:r>
      <w:r w:rsidRPr="00077D72">
        <w:rPr>
          <w:rFonts w:asciiTheme="majorBidi" w:hAnsiTheme="majorBidi" w:cstheme="majorBidi"/>
        </w:rPr>
        <w:t xml:space="preserve"> were isolated within 24 hours of healthy human donations, as described above, and injected retro-orbitally in 90-μL total volumes of 1× D</w:t>
      </w:r>
      <w:r w:rsidR="0010533B">
        <w:rPr>
          <w:rFonts w:asciiTheme="majorBidi" w:hAnsiTheme="majorBidi" w:cstheme="majorBidi"/>
        </w:rPr>
        <w:t xml:space="preserve">ulbecco’s phosphate-buffered saline (DPBS) </w:t>
      </w:r>
      <w:r w:rsidRPr="00077D72">
        <w:rPr>
          <w:rFonts w:asciiTheme="majorBidi" w:hAnsiTheme="majorBidi" w:cstheme="majorBidi"/>
        </w:rPr>
        <w:t xml:space="preserve">at day </w:t>
      </w:r>
      <w:r w:rsidR="0010533B">
        <w:rPr>
          <w:rFonts w:asciiTheme="majorBidi" w:hAnsiTheme="majorBidi" w:cstheme="majorBidi"/>
        </w:rPr>
        <w:t>seven</w:t>
      </w:r>
      <w:r w:rsidRPr="00077D72">
        <w:rPr>
          <w:rFonts w:asciiTheme="majorBidi" w:hAnsiTheme="majorBidi" w:cstheme="majorBidi"/>
        </w:rPr>
        <w:t xml:space="preserve"> post-transplant. </w:t>
      </w:r>
      <w:r>
        <w:rPr>
          <w:rFonts w:asciiTheme="majorBidi" w:hAnsiTheme="majorBidi" w:cstheme="majorBidi"/>
        </w:rPr>
        <w:t xml:space="preserve">Starting on the day of </w:t>
      </w:r>
      <w:r w:rsidRPr="00077D72">
        <w:rPr>
          <w:rFonts w:asciiTheme="majorBidi" w:hAnsiTheme="majorBidi" w:cstheme="majorBidi"/>
        </w:rPr>
        <w:t>the adoptive transfer</w:t>
      </w:r>
      <w:r>
        <w:rPr>
          <w:rFonts w:asciiTheme="majorBidi" w:hAnsiTheme="majorBidi" w:cstheme="majorBidi"/>
        </w:rPr>
        <w:t xml:space="preserve">, the </w:t>
      </w:r>
      <w:r w:rsidRPr="00077D72">
        <w:rPr>
          <w:rFonts w:asciiTheme="majorBidi" w:hAnsiTheme="majorBidi" w:cstheme="majorBidi"/>
        </w:rPr>
        <w:t xml:space="preserve">mice were intraperitoneally injected </w:t>
      </w:r>
      <w:r>
        <w:rPr>
          <w:rFonts w:asciiTheme="majorBidi" w:hAnsiTheme="majorBidi" w:cstheme="majorBidi"/>
        </w:rPr>
        <w:t xml:space="preserve">once daily for nine days </w:t>
      </w:r>
      <w:r w:rsidRPr="00077D72">
        <w:rPr>
          <w:rFonts w:asciiTheme="majorBidi" w:hAnsiTheme="majorBidi" w:cstheme="majorBidi"/>
        </w:rPr>
        <w:t xml:space="preserve">with </w:t>
      </w:r>
      <w:r>
        <w:rPr>
          <w:rFonts w:asciiTheme="majorBidi" w:hAnsiTheme="majorBidi" w:cstheme="majorBidi"/>
        </w:rPr>
        <w:t xml:space="preserve">200-μL volumes of either 1× </w:t>
      </w:r>
      <w:r w:rsidRPr="00077D72">
        <w:rPr>
          <w:rFonts w:asciiTheme="majorBidi" w:hAnsiTheme="majorBidi" w:cstheme="majorBidi"/>
        </w:rPr>
        <w:t>DBPS or 1</w:t>
      </w:r>
      <w:r>
        <w:rPr>
          <w:rFonts w:asciiTheme="majorBidi" w:hAnsiTheme="majorBidi" w:cstheme="majorBidi"/>
        </w:rPr>
        <w:t xml:space="preserve"> </w:t>
      </w:r>
      <w:r w:rsidRPr="00077D72">
        <w:rPr>
          <w:rFonts w:asciiTheme="majorBidi" w:hAnsiTheme="majorBidi" w:cstheme="majorBidi"/>
        </w:rPr>
        <w:lastRenderedPageBreak/>
        <w:t xml:space="preserve">mg/kg rapamycin. </w:t>
      </w:r>
      <w:r>
        <w:rPr>
          <w:rFonts w:asciiTheme="majorBidi" w:hAnsiTheme="majorBidi" w:cstheme="majorBidi"/>
        </w:rPr>
        <w:t>The m</w:t>
      </w:r>
      <w:r w:rsidRPr="00077D72">
        <w:rPr>
          <w:rFonts w:asciiTheme="majorBidi" w:hAnsiTheme="majorBidi" w:cstheme="majorBidi"/>
        </w:rPr>
        <w:t xml:space="preserve">ice were necropsied for mechanistic studies at day </w:t>
      </w:r>
      <w:r w:rsidR="0010533B">
        <w:rPr>
          <w:rFonts w:asciiTheme="majorBidi" w:hAnsiTheme="majorBidi" w:cstheme="majorBidi"/>
        </w:rPr>
        <w:t xml:space="preserve">fourteen </w:t>
      </w:r>
      <w:r w:rsidRPr="00077D72">
        <w:rPr>
          <w:rFonts w:asciiTheme="majorBidi" w:hAnsiTheme="majorBidi" w:cstheme="majorBidi"/>
        </w:rPr>
        <w:t xml:space="preserve">post adoptive transfer, </w:t>
      </w:r>
      <w:r>
        <w:rPr>
          <w:rFonts w:asciiTheme="majorBidi" w:hAnsiTheme="majorBidi" w:cstheme="majorBidi"/>
        </w:rPr>
        <w:t xml:space="preserve">which was </w:t>
      </w:r>
      <w:r w:rsidR="0010533B">
        <w:rPr>
          <w:rFonts w:asciiTheme="majorBidi" w:hAnsiTheme="majorBidi" w:cstheme="majorBidi"/>
        </w:rPr>
        <w:t>twenty-one</w:t>
      </w:r>
      <w:r w:rsidRPr="00077D72">
        <w:rPr>
          <w:rFonts w:asciiTheme="majorBidi" w:hAnsiTheme="majorBidi" w:cstheme="majorBidi"/>
        </w:rPr>
        <w:t xml:space="preserve"> days </w:t>
      </w:r>
      <w:r>
        <w:rPr>
          <w:rFonts w:asciiTheme="majorBidi" w:hAnsiTheme="majorBidi" w:cstheme="majorBidi"/>
        </w:rPr>
        <w:t xml:space="preserve">following the </w:t>
      </w:r>
      <w:r w:rsidRPr="00077D72">
        <w:rPr>
          <w:rFonts w:asciiTheme="majorBidi" w:hAnsiTheme="majorBidi" w:cstheme="majorBidi"/>
        </w:rPr>
        <w:t xml:space="preserve">skin graft </w:t>
      </w:r>
      <w:r>
        <w:rPr>
          <w:rFonts w:asciiTheme="majorBidi" w:hAnsiTheme="majorBidi" w:cstheme="majorBidi"/>
        </w:rPr>
        <w:t>transplantation</w:t>
      </w:r>
      <w:r w:rsidRPr="00077D72">
        <w:rPr>
          <w:rFonts w:asciiTheme="majorBidi" w:hAnsiTheme="majorBidi" w:cstheme="majorBidi"/>
        </w:rPr>
        <w:t>.</w:t>
      </w:r>
    </w:p>
    <w:p w14:paraId="74276F02" w14:textId="77777777" w:rsidR="00D5576F" w:rsidRPr="00077D72" w:rsidRDefault="00D5576F" w:rsidP="00D5576F">
      <w:pPr>
        <w:pStyle w:val="Kop2"/>
      </w:pPr>
      <w:bookmarkStart w:id="2" w:name="_Toc2508854"/>
      <w:r w:rsidRPr="00077D72">
        <w:t xml:space="preserve">Quantification of </w:t>
      </w:r>
      <w:r>
        <w:t>g</w:t>
      </w:r>
      <w:r w:rsidRPr="00077D72">
        <w:t>ranzyme B activity</w:t>
      </w:r>
    </w:p>
    <w:p w14:paraId="27DA9F1B" w14:textId="77777777" w:rsidR="00D5576F" w:rsidRDefault="00D5576F" w:rsidP="00D5576F">
      <w:pPr>
        <w:rPr>
          <w:rFonts w:asciiTheme="majorBidi" w:hAnsiTheme="majorBidi" w:cstheme="majorBidi"/>
          <w:iCs/>
          <w:lang w:val="en-GB"/>
        </w:rPr>
      </w:pPr>
      <w:r w:rsidRPr="00077D72">
        <w:rPr>
          <w:rFonts w:asciiTheme="majorBidi" w:hAnsiTheme="majorBidi" w:cstheme="majorBidi"/>
          <w:iCs/>
          <w:lang w:val="en-GB"/>
        </w:rPr>
        <w:t xml:space="preserve">Granzyme B activity within target cells was measured using </w:t>
      </w:r>
      <w:r>
        <w:rPr>
          <w:rFonts w:asciiTheme="majorBidi" w:hAnsiTheme="majorBidi" w:cstheme="majorBidi"/>
          <w:iCs/>
          <w:lang w:val="en-GB"/>
        </w:rPr>
        <w:t>the GranToxiLux</w:t>
      </w:r>
      <w:r w:rsidRPr="00077D72">
        <w:rPr>
          <w:rFonts w:asciiTheme="majorBidi" w:hAnsiTheme="majorBidi" w:cstheme="majorBidi"/>
          <w:iCs/>
          <w:lang w:val="en-GB"/>
        </w:rPr>
        <w:t xml:space="preserve"> assay in which </w:t>
      </w:r>
      <w:r>
        <w:rPr>
          <w:rFonts w:asciiTheme="majorBidi" w:hAnsiTheme="majorBidi" w:cstheme="majorBidi"/>
          <w:iCs/>
          <w:lang w:val="en-GB"/>
        </w:rPr>
        <w:t xml:space="preserve">a </w:t>
      </w:r>
      <w:r w:rsidRPr="00077D72">
        <w:rPr>
          <w:rFonts w:asciiTheme="majorBidi" w:hAnsiTheme="majorBidi" w:cstheme="majorBidi"/>
          <w:iCs/>
          <w:lang w:val="en-GB"/>
        </w:rPr>
        <w:t xml:space="preserve">membrane permeable </w:t>
      </w:r>
      <w:r>
        <w:rPr>
          <w:rFonts w:asciiTheme="majorBidi" w:hAnsiTheme="majorBidi" w:cstheme="majorBidi"/>
          <w:iCs/>
          <w:lang w:val="en-GB"/>
        </w:rPr>
        <w:t xml:space="preserve">GrB-sensitive </w:t>
      </w:r>
      <w:r w:rsidRPr="00077D72">
        <w:rPr>
          <w:rFonts w:asciiTheme="majorBidi" w:hAnsiTheme="majorBidi" w:cstheme="majorBidi"/>
          <w:iCs/>
          <w:lang w:val="en-GB"/>
        </w:rPr>
        <w:t xml:space="preserve">substrate </w:t>
      </w:r>
      <w:r>
        <w:rPr>
          <w:rFonts w:asciiTheme="majorBidi" w:hAnsiTheme="majorBidi" w:cstheme="majorBidi"/>
          <w:iCs/>
          <w:lang w:val="en-GB"/>
        </w:rPr>
        <w:t xml:space="preserve">is cleaved </w:t>
      </w:r>
      <w:r w:rsidRPr="00077D72">
        <w:rPr>
          <w:rFonts w:asciiTheme="majorBidi" w:hAnsiTheme="majorBidi" w:cstheme="majorBidi"/>
          <w:iCs/>
          <w:lang w:val="en-GB"/>
        </w:rPr>
        <w:t xml:space="preserve">by </w:t>
      </w:r>
      <w:r>
        <w:rPr>
          <w:rFonts w:asciiTheme="majorBidi" w:hAnsiTheme="majorBidi" w:cstheme="majorBidi"/>
          <w:iCs/>
          <w:lang w:val="en-GB"/>
        </w:rPr>
        <w:t xml:space="preserve">intracytoplasmic </w:t>
      </w:r>
      <w:r w:rsidRPr="00077D72">
        <w:rPr>
          <w:rFonts w:asciiTheme="majorBidi" w:hAnsiTheme="majorBidi" w:cstheme="majorBidi"/>
          <w:iCs/>
          <w:lang w:val="en-GB"/>
        </w:rPr>
        <w:t xml:space="preserve">GrB </w:t>
      </w:r>
      <w:r>
        <w:rPr>
          <w:rFonts w:asciiTheme="majorBidi" w:hAnsiTheme="majorBidi" w:cstheme="majorBidi"/>
          <w:iCs/>
          <w:lang w:val="en-GB"/>
        </w:rPr>
        <w:t xml:space="preserve">and can be detected using surrogate </w:t>
      </w:r>
      <w:r w:rsidRPr="00077D72">
        <w:rPr>
          <w:rFonts w:asciiTheme="majorBidi" w:hAnsiTheme="majorBidi" w:cstheme="majorBidi"/>
          <w:iCs/>
          <w:lang w:val="en-GB"/>
        </w:rPr>
        <w:t>green fluorescence</w:t>
      </w:r>
      <w:r>
        <w:rPr>
          <w:rFonts w:asciiTheme="majorBidi" w:hAnsiTheme="majorBidi" w:cstheme="majorBidi"/>
          <w:iCs/>
          <w:lang w:val="en-GB"/>
        </w:rPr>
        <w:t xml:space="preserve"> emission</w:t>
      </w:r>
      <w:r w:rsidRPr="00077D72">
        <w:rPr>
          <w:rFonts w:asciiTheme="majorBidi" w:hAnsiTheme="majorBidi" w:cstheme="majorBidi"/>
          <w:iCs/>
          <w:lang w:val="en-GB"/>
        </w:rPr>
        <w:t xml:space="preserve">. </w:t>
      </w:r>
      <w:r>
        <w:rPr>
          <w:rFonts w:asciiTheme="majorBidi" w:hAnsiTheme="majorBidi" w:cstheme="majorBidi"/>
          <w:iCs/>
          <w:lang w:val="en-GB"/>
        </w:rPr>
        <w:t xml:space="preserve">The assay was </w:t>
      </w:r>
      <w:r w:rsidRPr="00077D72">
        <w:rPr>
          <w:rFonts w:asciiTheme="majorBidi" w:hAnsiTheme="majorBidi" w:cstheme="majorBidi"/>
          <w:iCs/>
          <w:lang w:val="en-GB"/>
        </w:rPr>
        <w:t xml:space="preserve">purchased </w:t>
      </w:r>
      <w:r>
        <w:rPr>
          <w:rFonts w:asciiTheme="majorBidi" w:hAnsiTheme="majorBidi" w:cstheme="majorBidi"/>
          <w:iCs/>
          <w:lang w:val="en-GB"/>
        </w:rPr>
        <w:t xml:space="preserve">from </w:t>
      </w:r>
      <w:proofErr w:type="spellStart"/>
      <w:r w:rsidRPr="00077D72">
        <w:rPr>
          <w:rFonts w:asciiTheme="majorBidi" w:hAnsiTheme="majorBidi" w:cstheme="majorBidi"/>
          <w:iCs/>
          <w:lang w:val="en-GB"/>
        </w:rPr>
        <w:t>OncoImmunin</w:t>
      </w:r>
      <w:proofErr w:type="spellEnd"/>
      <w:r w:rsidRPr="00077D72">
        <w:rPr>
          <w:rFonts w:asciiTheme="majorBidi" w:hAnsiTheme="majorBidi" w:cstheme="majorBidi"/>
          <w:iCs/>
          <w:lang w:val="en-GB"/>
        </w:rPr>
        <w:t xml:space="preserve"> (Gaithersburg, MD, USA) </w:t>
      </w:r>
      <w:r>
        <w:rPr>
          <w:rFonts w:asciiTheme="majorBidi" w:hAnsiTheme="majorBidi" w:cstheme="majorBidi"/>
          <w:iCs/>
          <w:lang w:val="en-GB"/>
        </w:rPr>
        <w:t xml:space="preserve">and performed as per the manufacturer’s </w:t>
      </w:r>
      <w:r w:rsidRPr="00077D72">
        <w:rPr>
          <w:rFonts w:asciiTheme="majorBidi" w:hAnsiTheme="majorBidi" w:cstheme="majorBidi"/>
          <w:iCs/>
          <w:lang w:val="en-GB"/>
        </w:rPr>
        <w:t>instructions.</w:t>
      </w:r>
    </w:p>
    <w:bookmarkEnd w:id="2"/>
    <w:p w14:paraId="3126EE2F" w14:textId="77777777" w:rsidR="000E575C" w:rsidRPr="00077D72" w:rsidRDefault="000E575C" w:rsidP="000E575C">
      <w:pPr>
        <w:pStyle w:val="Kop2"/>
      </w:pPr>
      <w:r w:rsidRPr="00077D72">
        <w:t>Flow cytometry</w:t>
      </w:r>
    </w:p>
    <w:p w14:paraId="3D8C5CDD" w14:textId="21EBAF50" w:rsidR="000E575C" w:rsidRPr="00077D72" w:rsidRDefault="000E575C" w:rsidP="000E575C">
      <w:pPr>
        <w:pStyle w:val="Paragraph"/>
        <w:ind w:firstLine="0"/>
        <w:rPr>
          <w:rFonts w:asciiTheme="majorBidi" w:hAnsiTheme="majorBidi" w:cstheme="majorBidi"/>
        </w:rPr>
      </w:pPr>
      <w:r w:rsidRPr="00077D72">
        <w:rPr>
          <w:rFonts w:asciiTheme="majorBidi" w:hAnsiTheme="majorBidi" w:cstheme="majorBidi"/>
        </w:rPr>
        <w:t>Cells for flow cytometric analysis were stained extra</w:t>
      </w:r>
      <w:r>
        <w:rPr>
          <w:rFonts w:asciiTheme="majorBidi" w:hAnsiTheme="majorBidi" w:cstheme="majorBidi"/>
        </w:rPr>
        <w:t>-</w:t>
      </w:r>
      <w:r w:rsidRPr="00077D72">
        <w:rPr>
          <w:rFonts w:asciiTheme="majorBidi" w:hAnsiTheme="majorBidi" w:cstheme="majorBidi"/>
        </w:rPr>
        <w:t xml:space="preserve"> and intracellularly using </w:t>
      </w:r>
      <w:r>
        <w:rPr>
          <w:rFonts w:asciiTheme="majorBidi" w:hAnsiTheme="majorBidi" w:cstheme="majorBidi"/>
        </w:rPr>
        <w:t xml:space="preserve">the </w:t>
      </w:r>
      <w:r w:rsidRPr="006C630D">
        <w:rPr>
          <w:rFonts w:asciiTheme="majorBidi" w:hAnsiTheme="majorBidi" w:cstheme="majorBidi"/>
        </w:rPr>
        <w:t>eBioscience Fox</w:t>
      </w:r>
      <w:r>
        <w:rPr>
          <w:rFonts w:asciiTheme="majorBidi" w:hAnsiTheme="majorBidi" w:cstheme="majorBidi"/>
        </w:rPr>
        <w:t>P</w:t>
      </w:r>
      <w:r w:rsidRPr="006C630D">
        <w:rPr>
          <w:rFonts w:asciiTheme="majorBidi" w:hAnsiTheme="majorBidi" w:cstheme="majorBidi"/>
        </w:rPr>
        <w:t>3/Transcription Factor Staining Buffer Set</w:t>
      </w:r>
      <w:r>
        <w:rPr>
          <w:rFonts w:asciiTheme="majorBidi" w:hAnsiTheme="majorBidi" w:cstheme="majorBidi"/>
        </w:rPr>
        <w:t xml:space="preserve"> (#</w:t>
      </w:r>
      <w:r w:rsidRPr="006C630D">
        <w:rPr>
          <w:rFonts w:asciiTheme="majorBidi" w:hAnsiTheme="majorBidi" w:cstheme="majorBidi"/>
        </w:rPr>
        <w:t>00-5523-00</w:t>
      </w:r>
      <w:r>
        <w:rPr>
          <w:rFonts w:asciiTheme="majorBidi" w:hAnsiTheme="majorBidi" w:cstheme="majorBidi"/>
        </w:rPr>
        <w:t>, Invitrogen)</w:t>
      </w:r>
      <w:r w:rsidR="0010533B">
        <w:rPr>
          <w:rFonts w:asciiTheme="majorBidi" w:hAnsiTheme="majorBidi" w:cstheme="majorBidi"/>
        </w:rPr>
        <w:t xml:space="preserve">, and the </w:t>
      </w:r>
      <w:r>
        <w:rPr>
          <w:rFonts w:asciiTheme="majorBidi" w:hAnsiTheme="majorBidi" w:cstheme="majorBidi"/>
        </w:rPr>
        <w:t>s</w:t>
      </w:r>
      <w:r w:rsidRPr="00077D72">
        <w:rPr>
          <w:rFonts w:asciiTheme="majorBidi" w:hAnsiTheme="majorBidi" w:cstheme="majorBidi"/>
        </w:rPr>
        <w:t>tained cells were analyzed on a FACS Canto II (BD Biosciences, San Jose, CA, United States) flow cytometer</w:t>
      </w:r>
      <w:r>
        <w:rPr>
          <w:rFonts w:asciiTheme="majorBidi" w:hAnsiTheme="majorBidi" w:cstheme="majorBidi"/>
        </w:rPr>
        <w:t>.</w:t>
      </w:r>
      <w:r w:rsidRPr="00077D7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 resultant </w:t>
      </w:r>
      <w:r w:rsidRPr="00077D72">
        <w:rPr>
          <w:rFonts w:asciiTheme="majorBidi" w:hAnsiTheme="majorBidi" w:cstheme="majorBidi"/>
        </w:rPr>
        <w:t xml:space="preserve">files </w:t>
      </w:r>
      <w:r>
        <w:rPr>
          <w:rFonts w:asciiTheme="majorBidi" w:hAnsiTheme="majorBidi" w:cstheme="majorBidi"/>
        </w:rPr>
        <w:t xml:space="preserve">were </w:t>
      </w:r>
      <w:r w:rsidRPr="00077D72">
        <w:rPr>
          <w:rFonts w:asciiTheme="majorBidi" w:hAnsiTheme="majorBidi" w:cstheme="majorBidi"/>
        </w:rPr>
        <w:t xml:space="preserve">analyzed with </w:t>
      </w:r>
      <w:proofErr w:type="spellStart"/>
      <w:r w:rsidRPr="00077D72">
        <w:rPr>
          <w:rFonts w:asciiTheme="majorBidi" w:hAnsiTheme="majorBidi" w:cstheme="majorBidi"/>
        </w:rPr>
        <w:t>FlowJo</w:t>
      </w:r>
      <w:proofErr w:type="spellEnd"/>
      <w:r w:rsidRPr="00077D7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(V</w:t>
      </w:r>
      <w:r w:rsidRPr="00077D72">
        <w:rPr>
          <w:rFonts w:asciiTheme="majorBidi" w:hAnsiTheme="majorBidi" w:cstheme="majorBidi"/>
        </w:rPr>
        <w:t>ersion 10</w:t>
      </w:r>
      <w:r>
        <w:rPr>
          <w:rFonts w:asciiTheme="majorBidi" w:hAnsiTheme="majorBidi" w:cstheme="majorBidi"/>
        </w:rPr>
        <w:t xml:space="preserve">; </w:t>
      </w:r>
      <w:proofErr w:type="spellStart"/>
      <w:r w:rsidRPr="00077D72">
        <w:rPr>
          <w:rFonts w:asciiTheme="majorBidi" w:hAnsiTheme="majorBidi" w:cstheme="majorBidi"/>
        </w:rPr>
        <w:t>Flowjo</w:t>
      </w:r>
      <w:proofErr w:type="spellEnd"/>
      <w:r w:rsidRPr="00077D72">
        <w:rPr>
          <w:rFonts w:asciiTheme="majorBidi" w:hAnsiTheme="majorBidi" w:cstheme="majorBidi"/>
        </w:rPr>
        <w:t xml:space="preserve"> LLC, Ashland, OR, United States).</w:t>
      </w:r>
    </w:p>
    <w:p w14:paraId="301B7C41" w14:textId="7F990A49" w:rsidR="000E575C" w:rsidRPr="000007CC" w:rsidRDefault="000E575C" w:rsidP="000007CC">
      <w:pPr>
        <w:pStyle w:val="Paragraph"/>
        <w:ind w:firstLine="0"/>
        <w:rPr>
          <w:rFonts w:asciiTheme="majorBidi" w:hAnsiTheme="majorBidi" w:cstheme="majorBidi"/>
        </w:rPr>
      </w:pPr>
      <w:r w:rsidRPr="00077D72">
        <w:rPr>
          <w:rFonts w:asciiTheme="majorBidi" w:hAnsiTheme="majorBidi" w:cstheme="majorBidi"/>
        </w:rPr>
        <w:t>Isolated human cells were stained with</w:t>
      </w:r>
      <w:r w:rsidR="0010533B">
        <w:rPr>
          <w:rFonts w:asciiTheme="majorBidi" w:hAnsiTheme="majorBidi" w:cstheme="majorBidi"/>
        </w:rPr>
        <w:t>:</w:t>
      </w:r>
      <w:r w:rsidRPr="00077D72">
        <w:rPr>
          <w:rFonts w:asciiTheme="majorBidi" w:hAnsiTheme="majorBidi" w:cstheme="majorBidi"/>
        </w:rPr>
        <w:t xml:space="preserve"> </w:t>
      </w:r>
      <w:r w:rsidR="0010533B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nti-4E-BP-FITC (P-1, 1:125 μL; #</w:t>
      </w:r>
      <w:r w:rsidRPr="00BE7EC9">
        <w:t xml:space="preserve"> </w:t>
      </w:r>
      <w:r w:rsidRPr="00BE7EC9">
        <w:rPr>
          <w:rFonts w:asciiTheme="majorBidi" w:hAnsiTheme="majorBidi" w:cstheme="majorBidi"/>
        </w:rPr>
        <w:t>sc-9977</w:t>
      </w:r>
      <w:r>
        <w:rPr>
          <w:rFonts w:asciiTheme="majorBidi" w:hAnsiTheme="majorBidi" w:cstheme="majorBidi"/>
        </w:rPr>
        <w:t xml:space="preserve">, </w:t>
      </w:r>
      <w:r w:rsidRPr="00BE7EC9">
        <w:rPr>
          <w:rFonts w:asciiTheme="majorBidi" w:hAnsiTheme="majorBidi" w:cstheme="majorBidi"/>
        </w:rPr>
        <w:t>Santa Cruz Biotechnology</w:t>
      </w:r>
      <w:r>
        <w:rPr>
          <w:rFonts w:asciiTheme="majorBidi" w:hAnsiTheme="majorBidi" w:cstheme="majorBidi"/>
        </w:rPr>
        <w:t xml:space="preserve">), </w:t>
      </w:r>
      <w:r w:rsidRPr="00077D72">
        <w:rPr>
          <w:rFonts w:asciiTheme="majorBidi" w:hAnsiTheme="majorBidi" w:cstheme="majorBidi"/>
        </w:rPr>
        <w:t>Annexin V-BV510 (</w:t>
      </w:r>
      <w:r>
        <w:rPr>
          <w:rFonts w:asciiTheme="majorBidi" w:hAnsiTheme="majorBidi" w:cstheme="majorBidi"/>
        </w:rPr>
        <w:t xml:space="preserve">1:125 μL; </w:t>
      </w:r>
      <w:r w:rsidRPr="00077D72">
        <w:rPr>
          <w:rFonts w:asciiTheme="majorBidi" w:hAnsiTheme="majorBidi" w:cstheme="majorBidi"/>
          <w:iCs/>
          <w:lang w:val="en-GB"/>
        </w:rPr>
        <w:t>#</w:t>
      </w:r>
      <w:r w:rsidRPr="00077D72">
        <w:rPr>
          <w:rFonts w:asciiTheme="majorBidi" w:hAnsiTheme="majorBidi" w:cstheme="majorBidi"/>
        </w:rPr>
        <w:t>640937</w:t>
      </w:r>
      <w:r>
        <w:rPr>
          <w:rFonts w:asciiTheme="majorBidi" w:hAnsiTheme="majorBidi" w:cstheme="majorBidi"/>
        </w:rPr>
        <w:t xml:space="preserve">, </w:t>
      </w:r>
      <w:r w:rsidRPr="00077D72">
        <w:rPr>
          <w:rFonts w:asciiTheme="majorBidi" w:hAnsiTheme="majorBidi" w:cstheme="majorBidi"/>
        </w:rPr>
        <w:t>Bio</w:t>
      </w:r>
      <w:r>
        <w:rPr>
          <w:rFonts w:asciiTheme="majorBidi" w:hAnsiTheme="majorBidi" w:cstheme="majorBidi"/>
        </w:rPr>
        <w:t>L</w:t>
      </w:r>
      <w:r w:rsidRPr="00077D72">
        <w:rPr>
          <w:rFonts w:asciiTheme="majorBidi" w:hAnsiTheme="majorBidi" w:cstheme="majorBidi"/>
        </w:rPr>
        <w:t>egend),</w:t>
      </w:r>
      <w:r>
        <w:rPr>
          <w:rFonts w:asciiTheme="majorBidi" w:hAnsiTheme="majorBidi" w:cstheme="majorBidi"/>
        </w:rPr>
        <w:t xml:space="preserve"> </w:t>
      </w:r>
      <w:r w:rsidRPr="00077D72">
        <w:rPr>
          <w:rFonts w:asciiTheme="majorBidi" w:hAnsiTheme="majorBidi" w:cstheme="majorBidi"/>
        </w:rPr>
        <w:t>Annexin V-</w:t>
      </w:r>
      <w:r>
        <w:rPr>
          <w:rFonts w:asciiTheme="majorBidi" w:hAnsiTheme="majorBidi" w:cstheme="majorBidi"/>
        </w:rPr>
        <w:t>PE</w:t>
      </w:r>
      <w:r w:rsidRPr="00077D72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 xml:space="preserve">1:125 μL; </w:t>
      </w:r>
      <w:r w:rsidRPr="00077D72">
        <w:rPr>
          <w:rFonts w:asciiTheme="majorBidi" w:hAnsiTheme="majorBidi" w:cstheme="majorBidi"/>
          <w:iCs/>
          <w:lang w:val="en-GB"/>
        </w:rPr>
        <w:t>#</w:t>
      </w:r>
      <w:r w:rsidRPr="0075673F">
        <w:rPr>
          <w:rFonts w:asciiTheme="majorBidi" w:hAnsiTheme="majorBidi" w:cstheme="majorBidi"/>
        </w:rPr>
        <w:t>640907</w:t>
      </w:r>
      <w:r>
        <w:rPr>
          <w:rFonts w:asciiTheme="majorBidi" w:hAnsiTheme="majorBidi" w:cstheme="majorBidi"/>
        </w:rPr>
        <w:t xml:space="preserve">, </w:t>
      </w:r>
      <w:r w:rsidRPr="00077D72">
        <w:rPr>
          <w:rFonts w:asciiTheme="majorBidi" w:hAnsiTheme="majorBidi" w:cstheme="majorBidi"/>
        </w:rPr>
        <w:t>Bio</w:t>
      </w:r>
      <w:r>
        <w:rPr>
          <w:rFonts w:asciiTheme="majorBidi" w:hAnsiTheme="majorBidi" w:cstheme="majorBidi"/>
        </w:rPr>
        <w:t>L</w:t>
      </w:r>
      <w:r w:rsidRPr="00077D72">
        <w:rPr>
          <w:rFonts w:asciiTheme="majorBidi" w:hAnsiTheme="majorBidi" w:cstheme="majorBidi"/>
        </w:rPr>
        <w:t>egend),</w:t>
      </w:r>
      <w:r>
        <w:rPr>
          <w:rFonts w:asciiTheme="majorBidi" w:hAnsiTheme="majorBidi" w:cstheme="majorBidi"/>
        </w:rPr>
        <w:t xml:space="preserve"> </w:t>
      </w:r>
      <w:r w:rsidRPr="00077D72">
        <w:rPr>
          <w:rFonts w:asciiTheme="majorBidi" w:hAnsiTheme="majorBidi" w:cstheme="majorBidi"/>
        </w:rPr>
        <w:t>anti-CD</w:t>
      </w:r>
      <w:r>
        <w:rPr>
          <w:rFonts w:asciiTheme="majorBidi" w:hAnsiTheme="majorBidi" w:cstheme="majorBidi"/>
        </w:rPr>
        <w:t>127</w:t>
      </w:r>
      <w:r w:rsidRPr="00077D72">
        <w:rPr>
          <w:rFonts w:asciiTheme="majorBidi" w:hAnsiTheme="majorBidi" w:cstheme="majorBidi"/>
        </w:rPr>
        <w:t>-PE</w:t>
      </w:r>
      <w:r>
        <w:rPr>
          <w:rFonts w:asciiTheme="majorBidi" w:hAnsiTheme="majorBidi" w:cstheme="majorBidi"/>
        </w:rPr>
        <w:t>/Cy7</w:t>
      </w:r>
      <w:r w:rsidRPr="00077D72">
        <w:rPr>
          <w:rFonts w:asciiTheme="majorBidi" w:hAnsiTheme="majorBidi" w:cstheme="majorBidi"/>
        </w:rPr>
        <w:t xml:space="preserve"> (</w:t>
      </w:r>
      <w:r w:rsidRPr="0075673F">
        <w:rPr>
          <w:rFonts w:asciiTheme="majorBidi" w:hAnsiTheme="majorBidi" w:cstheme="majorBidi"/>
        </w:rPr>
        <w:t>A019D5</w:t>
      </w:r>
      <w:r>
        <w:rPr>
          <w:rFonts w:asciiTheme="majorBidi" w:hAnsiTheme="majorBidi" w:cstheme="majorBidi"/>
        </w:rPr>
        <w:t>, 1:250 μL;</w:t>
      </w:r>
      <w:r w:rsidRPr="00077D72">
        <w:rPr>
          <w:rFonts w:asciiTheme="majorBidi" w:hAnsiTheme="majorBidi" w:cstheme="majorBidi"/>
        </w:rPr>
        <w:t xml:space="preserve"> </w:t>
      </w:r>
      <w:r w:rsidRPr="00077D72">
        <w:rPr>
          <w:rFonts w:asciiTheme="majorBidi" w:hAnsiTheme="majorBidi" w:cstheme="majorBidi"/>
          <w:iCs/>
          <w:lang w:val="en-GB"/>
        </w:rPr>
        <w:t>#</w:t>
      </w:r>
      <w:r w:rsidRPr="0075673F">
        <w:rPr>
          <w:rFonts w:asciiTheme="majorBidi" w:hAnsiTheme="majorBidi" w:cstheme="majorBidi"/>
        </w:rPr>
        <w:t>351319</w:t>
      </w:r>
      <w:r>
        <w:rPr>
          <w:rFonts w:asciiTheme="majorBidi" w:hAnsiTheme="majorBidi" w:cstheme="majorBidi"/>
        </w:rPr>
        <w:t xml:space="preserve">, </w:t>
      </w:r>
      <w:r w:rsidRPr="00077D72">
        <w:rPr>
          <w:rFonts w:asciiTheme="majorBidi" w:hAnsiTheme="majorBidi" w:cstheme="majorBidi"/>
        </w:rPr>
        <w:t>Bio</w:t>
      </w:r>
      <w:r>
        <w:rPr>
          <w:rFonts w:asciiTheme="majorBidi" w:hAnsiTheme="majorBidi" w:cstheme="majorBidi"/>
        </w:rPr>
        <w:t>L</w:t>
      </w:r>
      <w:r w:rsidRPr="00077D72">
        <w:rPr>
          <w:rFonts w:asciiTheme="majorBidi" w:hAnsiTheme="majorBidi" w:cstheme="majorBidi"/>
        </w:rPr>
        <w:t>egend),</w:t>
      </w:r>
      <w:r>
        <w:rPr>
          <w:rFonts w:asciiTheme="majorBidi" w:hAnsiTheme="majorBidi" w:cstheme="majorBidi"/>
        </w:rPr>
        <w:t xml:space="preserve"> </w:t>
      </w:r>
      <w:r w:rsidRPr="00077D72">
        <w:rPr>
          <w:rFonts w:asciiTheme="majorBidi" w:hAnsiTheme="majorBidi" w:cstheme="majorBidi"/>
        </w:rPr>
        <w:t>anti-CD25-</w:t>
      </w:r>
      <w:r>
        <w:rPr>
          <w:rFonts w:asciiTheme="majorBidi" w:hAnsiTheme="majorBidi" w:cstheme="majorBidi"/>
        </w:rPr>
        <w:t>APC/Cy7</w:t>
      </w:r>
      <w:r w:rsidRPr="00077D72">
        <w:rPr>
          <w:rFonts w:asciiTheme="majorBidi" w:hAnsiTheme="majorBidi" w:cstheme="majorBidi"/>
        </w:rPr>
        <w:t xml:space="preserve"> (M-A251</w:t>
      </w:r>
      <w:r>
        <w:rPr>
          <w:rFonts w:asciiTheme="majorBidi" w:hAnsiTheme="majorBidi" w:cstheme="majorBidi"/>
        </w:rPr>
        <w:t>, 1:500 μL</w:t>
      </w:r>
      <w:r w:rsidRPr="00077D72">
        <w:rPr>
          <w:rFonts w:asciiTheme="majorBidi" w:hAnsiTheme="majorBidi" w:cstheme="majorBidi"/>
        </w:rPr>
        <w:t xml:space="preserve">; </w:t>
      </w:r>
      <w:r w:rsidRPr="00077D72">
        <w:rPr>
          <w:rFonts w:asciiTheme="majorBidi" w:hAnsiTheme="majorBidi" w:cstheme="majorBidi"/>
          <w:iCs/>
          <w:lang w:val="en-GB"/>
        </w:rPr>
        <w:t>#</w:t>
      </w:r>
      <w:r w:rsidRPr="00596427">
        <w:rPr>
          <w:rFonts w:asciiTheme="majorBidi" w:hAnsiTheme="majorBidi" w:cstheme="majorBidi"/>
        </w:rPr>
        <w:t>356121</w:t>
      </w:r>
      <w:r>
        <w:rPr>
          <w:rFonts w:asciiTheme="majorBidi" w:hAnsiTheme="majorBidi" w:cstheme="majorBidi"/>
        </w:rPr>
        <w:t xml:space="preserve">, </w:t>
      </w:r>
      <w:r w:rsidRPr="00077D72">
        <w:rPr>
          <w:rFonts w:asciiTheme="majorBidi" w:hAnsiTheme="majorBidi" w:cstheme="majorBidi"/>
        </w:rPr>
        <w:t>Bio</w:t>
      </w:r>
      <w:r>
        <w:rPr>
          <w:rFonts w:asciiTheme="majorBidi" w:hAnsiTheme="majorBidi" w:cstheme="majorBidi"/>
        </w:rPr>
        <w:t>L</w:t>
      </w:r>
      <w:r w:rsidRPr="00077D72">
        <w:rPr>
          <w:rFonts w:asciiTheme="majorBidi" w:hAnsiTheme="majorBidi" w:cstheme="majorBidi"/>
        </w:rPr>
        <w:t>egend),</w:t>
      </w:r>
      <w:r>
        <w:rPr>
          <w:rFonts w:asciiTheme="majorBidi" w:hAnsiTheme="majorBidi" w:cstheme="majorBidi"/>
        </w:rPr>
        <w:t xml:space="preserve"> </w:t>
      </w:r>
      <w:r w:rsidRPr="00077D72">
        <w:rPr>
          <w:rFonts w:asciiTheme="majorBidi" w:hAnsiTheme="majorBidi" w:cstheme="majorBidi"/>
        </w:rPr>
        <w:t>anti-CD25-PE (M-A251</w:t>
      </w:r>
      <w:r>
        <w:rPr>
          <w:rFonts w:asciiTheme="majorBidi" w:hAnsiTheme="majorBidi" w:cstheme="majorBidi"/>
        </w:rPr>
        <w:t>, 1:500 μL</w:t>
      </w:r>
      <w:r w:rsidRPr="00077D72">
        <w:rPr>
          <w:rFonts w:asciiTheme="majorBidi" w:hAnsiTheme="majorBidi" w:cstheme="majorBidi"/>
        </w:rPr>
        <w:t xml:space="preserve">; </w:t>
      </w:r>
      <w:r w:rsidRPr="00077D72">
        <w:rPr>
          <w:rFonts w:asciiTheme="majorBidi" w:hAnsiTheme="majorBidi" w:cstheme="majorBidi"/>
          <w:iCs/>
          <w:lang w:val="en-GB"/>
        </w:rPr>
        <w:t>#</w:t>
      </w:r>
      <w:r w:rsidRPr="00077D72">
        <w:rPr>
          <w:rFonts w:asciiTheme="majorBidi" w:hAnsiTheme="majorBidi" w:cstheme="majorBidi"/>
        </w:rPr>
        <w:t>356103</w:t>
      </w:r>
      <w:r>
        <w:rPr>
          <w:rFonts w:asciiTheme="majorBidi" w:hAnsiTheme="majorBidi" w:cstheme="majorBidi"/>
        </w:rPr>
        <w:t xml:space="preserve">, </w:t>
      </w:r>
      <w:r w:rsidRPr="00077D72">
        <w:rPr>
          <w:rFonts w:asciiTheme="majorBidi" w:hAnsiTheme="majorBidi" w:cstheme="majorBidi"/>
        </w:rPr>
        <w:t>Bio</w:t>
      </w:r>
      <w:r>
        <w:rPr>
          <w:rFonts w:asciiTheme="majorBidi" w:hAnsiTheme="majorBidi" w:cstheme="majorBidi"/>
        </w:rPr>
        <w:t>L</w:t>
      </w:r>
      <w:r w:rsidRPr="00077D72">
        <w:rPr>
          <w:rFonts w:asciiTheme="majorBidi" w:hAnsiTheme="majorBidi" w:cstheme="majorBidi"/>
        </w:rPr>
        <w:t>egend),</w:t>
      </w:r>
      <w:r>
        <w:rPr>
          <w:rFonts w:asciiTheme="majorBidi" w:hAnsiTheme="majorBidi" w:cstheme="majorBidi"/>
        </w:rPr>
        <w:t xml:space="preserve"> </w:t>
      </w:r>
      <w:r w:rsidRPr="002B49BD">
        <w:rPr>
          <w:rFonts w:asciiTheme="majorBidi" w:hAnsiTheme="majorBidi" w:cstheme="majorBidi"/>
        </w:rPr>
        <w:t>anti-CD4-APC/Cy7 (OKT4</w:t>
      </w:r>
      <w:r>
        <w:rPr>
          <w:rFonts w:asciiTheme="majorBidi" w:hAnsiTheme="majorBidi" w:cstheme="majorBidi"/>
        </w:rPr>
        <w:t>, 1:500 μL</w:t>
      </w:r>
      <w:r w:rsidRPr="002B49BD">
        <w:rPr>
          <w:rFonts w:asciiTheme="majorBidi" w:hAnsiTheme="majorBidi" w:cstheme="majorBidi"/>
        </w:rPr>
        <w:t xml:space="preserve">; </w:t>
      </w:r>
      <w:r w:rsidRPr="002B49BD">
        <w:rPr>
          <w:rFonts w:asciiTheme="majorBidi" w:hAnsiTheme="majorBidi" w:cstheme="majorBidi"/>
          <w:iCs/>
          <w:lang w:val="en-GB"/>
        </w:rPr>
        <w:t>#</w:t>
      </w:r>
      <w:r w:rsidRPr="002B49BD">
        <w:rPr>
          <w:rFonts w:asciiTheme="majorBidi" w:hAnsiTheme="majorBidi" w:cstheme="majorBidi"/>
        </w:rPr>
        <w:t>317417, BioLegend),</w:t>
      </w:r>
      <w:r>
        <w:rPr>
          <w:rFonts w:asciiTheme="majorBidi" w:hAnsiTheme="majorBidi" w:cstheme="majorBidi"/>
        </w:rPr>
        <w:t xml:space="preserve"> </w:t>
      </w:r>
      <w:r w:rsidRPr="00077D72">
        <w:rPr>
          <w:rFonts w:asciiTheme="majorBidi" w:hAnsiTheme="majorBidi" w:cstheme="majorBidi"/>
        </w:rPr>
        <w:t>anti-CD4-BV510 (RPA-T4</w:t>
      </w:r>
      <w:r>
        <w:rPr>
          <w:rFonts w:asciiTheme="majorBidi" w:hAnsiTheme="majorBidi" w:cstheme="majorBidi"/>
        </w:rPr>
        <w:t>, 1:500 μL</w:t>
      </w:r>
      <w:r w:rsidRPr="00077D72">
        <w:rPr>
          <w:rFonts w:asciiTheme="majorBidi" w:hAnsiTheme="majorBidi" w:cstheme="majorBidi"/>
        </w:rPr>
        <w:t xml:space="preserve">; </w:t>
      </w:r>
      <w:r>
        <w:rPr>
          <w:rFonts w:asciiTheme="majorBidi" w:hAnsiTheme="majorBidi" w:cstheme="majorBidi"/>
        </w:rPr>
        <w:t>#</w:t>
      </w:r>
      <w:r w:rsidRPr="00077D72">
        <w:rPr>
          <w:rFonts w:asciiTheme="majorBidi" w:hAnsiTheme="majorBidi" w:cstheme="majorBidi"/>
        </w:rPr>
        <w:t>300545</w:t>
      </w:r>
      <w:r>
        <w:rPr>
          <w:rFonts w:asciiTheme="majorBidi" w:hAnsiTheme="majorBidi" w:cstheme="majorBidi"/>
        </w:rPr>
        <w:t xml:space="preserve">, </w:t>
      </w:r>
      <w:r w:rsidRPr="00077D72">
        <w:rPr>
          <w:rFonts w:asciiTheme="majorBidi" w:hAnsiTheme="majorBidi" w:cstheme="majorBidi"/>
        </w:rPr>
        <w:t>Bio</w:t>
      </w:r>
      <w:r>
        <w:rPr>
          <w:rFonts w:asciiTheme="majorBidi" w:hAnsiTheme="majorBidi" w:cstheme="majorBidi"/>
        </w:rPr>
        <w:t>L</w:t>
      </w:r>
      <w:r w:rsidRPr="00077D72">
        <w:rPr>
          <w:rFonts w:asciiTheme="majorBidi" w:hAnsiTheme="majorBidi" w:cstheme="majorBidi"/>
        </w:rPr>
        <w:t>egend),</w:t>
      </w:r>
      <w:r>
        <w:rPr>
          <w:rFonts w:asciiTheme="majorBidi" w:hAnsiTheme="majorBidi" w:cstheme="majorBidi"/>
        </w:rPr>
        <w:t xml:space="preserve"> </w:t>
      </w:r>
      <w:r w:rsidRPr="00077D72">
        <w:rPr>
          <w:rFonts w:asciiTheme="majorBidi" w:hAnsiTheme="majorBidi" w:cstheme="majorBidi"/>
        </w:rPr>
        <w:t>anti-CD4-</w:t>
      </w:r>
      <w:r>
        <w:rPr>
          <w:rFonts w:asciiTheme="majorBidi" w:hAnsiTheme="majorBidi" w:cstheme="majorBidi"/>
        </w:rPr>
        <w:t>FITC</w:t>
      </w:r>
      <w:r w:rsidRPr="00077D72">
        <w:rPr>
          <w:rFonts w:asciiTheme="majorBidi" w:hAnsiTheme="majorBidi" w:cstheme="majorBidi"/>
        </w:rPr>
        <w:t xml:space="preserve"> (OKT4</w:t>
      </w:r>
      <w:r>
        <w:rPr>
          <w:rFonts w:asciiTheme="majorBidi" w:hAnsiTheme="majorBidi" w:cstheme="majorBidi"/>
        </w:rPr>
        <w:t>, 1:500 μL</w:t>
      </w:r>
      <w:r w:rsidRPr="00077D72">
        <w:rPr>
          <w:rFonts w:asciiTheme="majorBidi" w:hAnsiTheme="majorBidi" w:cstheme="majorBidi"/>
        </w:rPr>
        <w:t xml:space="preserve">; </w:t>
      </w:r>
      <w:r w:rsidRPr="00077D72">
        <w:rPr>
          <w:rFonts w:asciiTheme="majorBidi" w:hAnsiTheme="majorBidi" w:cstheme="majorBidi"/>
          <w:iCs/>
          <w:lang w:val="en-GB"/>
        </w:rPr>
        <w:t>#</w:t>
      </w:r>
      <w:r w:rsidRPr="00596427">
        <w:rPr>
          <w:rFonts w:asciiTheme="majorBidi" w:hAnsiTheme="majorBidi" w:cstheme="majorBidi"/>
        </w:rPr>
        <w:t>317407</w:t>
      </w:r>
      <w:r>
        <w:rPr>
          <w:rFonts w:asciiTheme="majorBidi" w:hAnsiTheme="majorBidi" w:cstheme="majorBidi"/>
        </w:rPr>
        <w:t xml:space="preserve">, </w:t>
      </w:r>
      <w:r w:rsidRPr="00077D72">
        <w:rPr>
          <w:rFonts w:asciiTheme="majorBidi" w:hAnsiTheme="majorBidi" w:cstheme="majorBidi"/>
        </w:rPr>
        <w:t>Bio</w:t>
      </w:r>
      <w:r>
        <w:rPr>
          <w:rFonts w:asciiTheme="majorBidi" w:hAnsiTheme="majorBidi" w:cstheme="majorBidi"/>
        </w:rPr>
        <w:t>L</w:t>
      </w:r>
      <w:r w:rsidRPr="00077D72">
        <w:rPr>
          <w:rFonts w:asciiTheme="majorBidi" w:hAnsiTheme="majorBidi" w:cstheme="majorBidi"/>
        </w:rPr>
        <w:t>egend),</w:t>
      </w:r>
      <w:r>
        <w:rPr>
          <w:rFonts w:asciiTheme="majorBidi" w:hAnsiTheme="majorBidi" w:cstheme="majorBidi"/>
        </w:rPr>
        <w:t xml:space="preserve"> </w:t>
      </w:r>
      <w:r w:rsidRPr="00077D72">
        <w:rPr>
          <w:rFonts w:asciiTheme="majorBidi" w:hAnsiTheme="majorBidi" w:cstheme="majorBidi"/>
        </w:rPr>
        <w:t>anti-</w:t>
      </w:r>
      <w:r>
        <w:rPr>
          <w:rFonts w:asciiTheme="majorBidi" w:hAnsiTheme="majorBidi" w:cstheme="majorBidi"/>
        </w:rPr>
        <w:t>FoxP3-APC (</w:t>
      </w:r>
      <w:r w:rsidRPr="009163E3">
        <w:rPr>
          <w:rFonts w:asciiTheme="majorBidi" w:hAnsiTheme="majorBidi" w:cstheme="majorBidi"/>
        </w:rPr>
        <w:t>PCH101</w:t>
      </w:r>
      <w:r>
        <w:rPr>
          <w:rFonts w:asciiTheme="majorBidi" w:hAnsiTheme="majorBidi" w:cstheme="majorBidi"/>
        </w:rPr>
        <w:t xml:space="preserve">, 1:125 μL; </w:t>
      </w:r>
      <w:r w:rsidRPr="00077D72">
        <w:rPr>
          <w:rFonts w:asciiTheme="majorBidi" w:hAnsiTheme="majorBidi" w:cstheme="majorBidi"/>
          <w:iCs/>
          <w:lang w:val="en-GB"/>
        </w:rPr>
        <w:t>#</w:t>
      </w:r>
      <w:r w:rsidRPr="00077D72">
        <w:rPr>
          <w:rFonts w:asciiTheme="majorBidi" w:hAnsiTheme="majorBidi" w:cstheme="majorBidi"/>
        </w:rPr>
        <w:t>17477642</w:t>
      </w:r>
      <w:r>
        <w:rPr>
          <w:rFonts w:asciiTheme="majorBidi" w:hAnsiTheme="majorBidi" w:cstheme="majorBidi"/>
        </w:rPr>
        <w:t>, Invitrogen</w:t>
      </w:r>
      <w:r w:rsidRPr="00077D72">
        <w:rPr>
          <w:rFonts w:asciiTheme="majorBidi" w:hAnsiTheme="majorBidi" w:cstheme="majorBidi"/>
        </w:rPr>
        <w:t>),</w:t>
      </w:r>
      <w:r>
        <w:rPr>
          <w:rFonts w:asciiTheme="majorBidi" w:hAnsiTheme="majorBidi" w:cstheme="majorBidi"/>
        </w:rPr>
        <w:t xml:space="preserve"> </w:t>
      </w:r>
      <w:r w:rsidRPr="00077D72">
        <w:rPr>
          <w:rFonts w:asciiTheme="majorBidi" w:hAnsiTheme="majorBidi" w:cstheme="majorBidi"/>
        </w:rPr>
        <w:t>anti-Granzyme</w:t>
      </w:r>
      <w:r>
        <w:rPr>
          <w:rFonts w:asciiTheme="majorBidi" w:hAnsiTheme="majorBidi" w:cstheme="majorBidi"/>
        </w:rPr>
        <w:t>-</w:t>
      </w:r>
      <w:r w:rsidRPr="00077D72">
        <w:rPr>
          <w:rFonts w:asciiTheme="majorBidi" w:hAnsiTheme="majorBidi" w:cstheme="majorBidi"/>
        </w:rPr>
        <w:t>B-Pacific Blue (GBII</w:t>
      </w:r>
      <w:r>
        <w:rPr>
          <w:rFonts w:asciiTheme="majorBidi" w:hAnsiTheme="majorBidi" w:cstheme="majorBidi"/>
        </w:rPr>
        <w:t>, 1:62.5 μL</w:t>
      </w:r>
      <w:r w:rsidRPr="00077D72">
        <w:rPr>
          <w:rFonts w:asciiTheme="majorBidi" w:hAnsiTheme="majorBidi" w:cstheme="majorBidi"/>
        </w:rPr>
        <w:t xml:space="preserve">; </w:t>
      </w:r>
      <w:r w:rsidRPr="00077D72">
        <w:rPr>
          <w:rFonts w:asciiTheme="majorBidi" w:hAnsiTheme="majorBidi" w:cstheme="majorBidi"/>
          <w:iCs/>
          <w:lang w:val="en-GB"/>
        </w:rPr>
        <w:t>#</w:t>
      </w:r>
      <w:r w:rsidRPr="00077D72">
        <w:rPr>
          <w:rFonts w:asciiTheme="majorBidi" w:hAnsiTheme="majorBidi" w:cstheme="majorBidi"/>
        </w:rPr>
        <w:t>515407</w:t>
      </w:r>
      <w:r>
        <w:rPr>
          <w:rFonts w:asciiTheme="majorBidi" w:hAnsiTheme="majorBidi" w:cstheme="majorBidi"/>
        </w:rPr>
        <w:t xml:space="preserve">, </w:t>
      </w:r>
      <w:r w:rsidRPr="00077D72">
        <w:rPr>
          <w:rFonts w:asciiTheme="majorBidi" w:hAnsiTheme="majorBidi" w:cstheme="majorBidi"/>
        </w:rPr>
        <w:t>Bio</w:t>
      </w:r>
      <w:r>
        <w:rPr>
          <w:rFonts w:asciiTheme="majorBidi" w:hAnsiTheme="majorBidi" w:cstheme="majorBidi"/>
        </w:rPr>
        <w:t>L</w:t>
      </w:r>
      <w:r w:rsidRPr="00077D72">
        <w:rPr>
          <w:rFonts w:asciiTheme="majorBidi" w:hAnsiTheme="majorBidi" w:cstheme="majorBidi"/>
        </w:rPr>
        <w:t>egend),</w:t>
      </w:r>
      <w:r>
        <w:rPr>
          <w:rFonts w:asciiTheme="majorBidi" w:hAnsiTheme="majorBidi" w:cstheme="majorBidi"/>
        </w:rPr>
        <w:t xml:space="preserve"> </w:t>
      </w:r>
      <w:r w:rsidRPr="00077D72">
        <w:rPr>
          <w:rFonts w:asciiTheme="majorBidi" w:hAnsiTheme="majorBidi" w:cstheme="majorBidi"/>
        </w:rPr>
        <w:t>anti-p-</w:t>
      </w:r>
      <w:r>
        <w:rPr>
          <w:rFonts w:asciiTheme="majorBidi" w:hAnsiTheme="majorBidi" w:cstheme="majorBidi"/>
        </w:rPr>
        <w:t>c-Jun</w:t>
      </w:r>
      <w:r w:rsidRPr="00077D72">
        <w:rPr>
          <w:rFonts w:asciiTheme="majorBidi" w:hAnsiTheme="majorBidi" w:cstheme="majorBidi"/>
        </w:rPr>
        <w:t>-FITC (KM-1</w:t>
      </w:r>
      <w:r>
        <w:rPr>
          <w:rFonts w:asciiTheme="majorBidi" w:hAnsiTheme="majorBidi" w:cstheme="majorBidi"/>
        </w:rPr>
        <w:t>, 1:125 μL</w:t>
      </w:r>
      <w:r w:rsidRPr="00077D72">
        <w:rPr>
          <w:rFonts w:asciiTheme="majorBidi" w:hAnsiTheme="majorBidi" w:cstheme="majorBidi"/>
        </w:rPr>
        <w:t xml:space="preserve">; </w:t>
      </w:r>
      <w:r w:rsidRPr="00077D72">
        <w:rPr>
          <w:rFonts w:asciiTheme="majorBidi" w:hAnsiTheme="majorBidi" w:cstheme="majorBidi"/>
          <w:iCs/>
          <w:lang w:val="en-GB"/>
        </w:rPr>
        <w:t>#</w:t>
      </w:r>
      <w:r w:rsidRPr="00077D72">
        <w:rPr>
          <w:rFonts w:asciiTheme="majorBidi" w:hAnsiTheme="majorBidi" w:cstheme="majorBidi"/>
        </w:rPr>
        <w:t>sc-822</w:t>
      </w:r>
      <w:r>
        <w:rPr>
          <w:rFonts w:asciiTheme="majorBidi" w:hAnsiTheme="majorBidi" w:cstheme="majorBidi"/>
        </w:rPr>
        <w:t xml:space="preserve">, </w:t>
      </w:r>
      <w:r w:rsidRPr="00077D72">
        <w:rPr>
          <w:rFonts w:asciiTheme="majorBidi" w:hAnsiTheme="majorBidi" w:cstheme="majorBidi"/>
        </w:rPr>
        <w:t>Santa Cruz Biotechnology),</w:t>
      </w:r>
      <w:r>
        <w:rPr>
          <w:rFonts w:asciiTheme="majorBidi" w:hAnsiTheme="majorBidi" w:cstheme="majorBidi"/>
        </w:rPr>
        <w:t xml:space="preserve"> and </w:t>
      </w:r>
      <w:r w:rsidRPr="00077D72">
        <w:rPr>
          <w:rFonts w:asciiTheme="majorBidi" w:hAnsiTheme="majorBidi" w:cstheme="majorBidi"/>
        </w:rPr>
        <w:t>anti-p-p70</w:t>
      </w:r>
      <w:r>
        <w:rPr>
          <w:rFonts w:asciiTheme="majorBidi" w:hAnsiTheme="majorBidi" w:cstheme="majorBidi"/>
        </w:rPr>
        <w:t>-</w:t>
      </w:r>
      <w:r w:rsidRPr="00077D72">
        <w:rPr>
          <w:rFonts w:asciiTheme="majorBidi" w:hAnsiTheme="majorBidi" w:cstheme="majorBidi"/>
        </w:rPr>
        <w:t>S6</w:t>
      </w:r>
      <w:r>
        <w:rPr>
          <w:rFonts w:asciiTheme="majorBidi" w:hAnsiTheme="majorBidi" w:cstheme="majorBidi"/>
        </w:rPr>
        <w:t>-</w:t>
      </w:r>
      <w:r w:rsidRPr="00077D72">
        <w:rPr>
          <w:rFonts w:asciiTheme="majorBidi" w:hAnsiTheme="majorBidi" w:cstheme="majorBidi"/>
        </w:rPr>
        <w:t>Kinase</w:t>
      </w:r>
      <w:r>
        <w:rPr>
          <w:rFonts w:asciiTheme="majorBidi" w:hAnsiTheme="majorBidi" w:cstheme="majorBidi"/>
        </w:rPr>
        <w:t>-α</w:t>
      </w:r>
      <w:r w:rsidRPr="00077D72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AF</w:t>
      </w:r>
      <w:r w:rsidRPr="00077D72">
        <w:rPr>
          <w:rFonts w:asciiTheme="majorBidi" w:hAnsiTheme="majorBidi" w:cstheme="majorBidi"/>
        </w:rPr>
        <w:t>647 (A-6</w:t>
      </w:r>
      <w:r>
        <w:rPr>
          <w:rFonts w:asciiTheme="majorBidi" w:hAnsiTheme="majorBidi" w:cstheme="majorBidi"/>
        </w:rPr>
        <w:t>, 1:125 μL</w:t>
      </w:r>
      <w:r w:rsidRPr="00077D72">
        <w:rPr>
          <w:rFonts w:asciiTheme="majorBidi" w:hAnsiTheme="majorBidi" w:cstheme="majorBidi"/>
        </w:rPr>
        <w:t xml:space="preserve">; </w:t>
      </w:r>
      <w:r w:rsidRPr="00077D72">
        <w:rPr>
          <w:rFonts w:asciiTheme="majorBidi" w:hAnsiTheme="majorBidi" w:cstheme="majorBidi"/>
          <w:iCs/>
          <w:lang w:val="en-GB"/>
        </w:rPr>
        <w:t>#</w:t>
      </w:r>
      <w:r w:rsidRPr="00077D72">
        <w:rPr>
          <w:rFonts w:asciiTheme="majorBidi" w:hAnsiTheme="majorBidi" w:cstheme="majorBidi"/>
        </w:rPr>
        <w:t>sc-8416</w:t>
      </w:r>
      <w:r>
        <w:rPr>
          <w:rFonts w:asciiTheme="majorBidi" w:hAnsiTheme="majorBidi" w:cstheme="majorBidi"/>
        </w:rPr>
        <w:t xml:space="preserve">, </w:t>
      </w:r>
      <w:r w:rsidRPr="00077D72">
        <w:rPr>
          <w:rFonts w:asciiTheme="majorBidi" w:hAnsiTheme="majorBidi" w:cstheme="majorBidi"/>
        </w:rPr>
        <w:t>Santa Cruz Biotechnology).</w:t>
      </w:r>
    </w:p>
    <w:sectPr w:rsidR="000E575C" w:rsidRPr="000007CC" w:rsidSect="001423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FBE2" w14:textId="77777777" w:rsidR="00B124AC" w:rsidRDefault="00B124AC" w:rsidP="00ED2E8E">
      <w:r>
        <w:separator/>
      </w:r>
    </w:p>
  </w:endnote>
  <w:endnote w:type="continuationSeparator" w:id="0">
    <w:p w14:paraId="6B6D0B30" w14:textId="77777777" w:rsidR="00B124AC" w:rsidRDefault="00B124AC" w:rsidP="00ED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-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666729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41BC01" w14:textId="7B47FDAF" w:rsidR="00681B20" w:rsidRPr="00681B20" w:rsidRDefault="00681B20" w:rsidP="00681B20">
            <w:pPr>
              <w:pStyle w:val="Voettek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pg.  </w:t>
            </w:r>
            <w:r w:rsidRPr="00681B20">
              <w:rPr>
                <w:sz w:val="20"/>
                <w:szCs w:val="20"/>
              </w:rPr>
              <w:t xml:space="preserve"> </w:t>
            </w:r>
            <w:r w:rsidRPr="00681B20">
              <w:rPr>
                <w:b/>
                <w:bCs/>
                <w:sz w:val="20"/>
                <w:szCs w:val="20"/>
              </w:rPr>
              <w:fldChar w:fldCharType="begin"/>
            </w:r>
            <w:r w:rsidRPr="00681B2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81B20">
              <w:rPr>
                <w:b/>
                <w:bCs/>
                <w:sz w:val="20"/>
                <w:szCs w:val="20"/>
              </w:rPr>
              <w:fldChar w:fldCharType="separate"/>
            </w:r>
            <w:r w:rsidRPr="00681B20">
              <w:rPr>
                <w:b/>
                <w:bCs/>
                <w:noProof/>
                <w:sz w:val="20"/>
                <w:szCs w:val="20"/>
              </w:rPr>
              <w:t>2</w:t>
            </w:r>
            <w:r w:rsidRPr="00681B20">
              <w:rPr>
                <w:b/>
                <w:bCs/>
                <w:sz w:val="20"/>
                <w:szCs w:val="20"/>
              </w:rPr>
              <w:fldChar w:fldCharType="end"/>
            </w:r>
            <w:r w:rsidRPr="00681B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| </w:t>
            </w:r>
            <w:r w:rsidRPr="00681B20">
              <w:rPr>
                <w:sz w:val="20"/>
                <w:szCs w:val="20"/>
              </w:rPr>
              <w:t xml:space="preserve"> </w:t>
            </w:r>
            <w:r w:rsidRPr="00681B20">
              <w:rPr>
                <w:b/>
                <w:bCs/>
                <w:sz w:val="20"/>
                <w:szCs w:val="20"/>
              </w:rPr>
              <w:fldChar w:fldCharType="begin"/>
            </w:r>
            <w:r w:rsidRPr="00681B2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81B20">
              <w:rPr>
                <w:b/>
                <w:bCs/>
                <w:sz w:val="20"/>
                <w:szCs w:val="20"/>
              </w:rPr>
              <w:fldChar w:fldCharType="separate"/>
            </w:r>
            <w:r w:rsidRPr="00681B20">
              <w:rPr>
                <w:b/>
                <w:bCs/>
                <w:noProof/>
                <w:sz w:val="20"/>
                <w:szCs w:val="20"/>
              </w:rPr>
              <w:t>2</w:t>
            </w:r>
            <w:r w:rsidRPr="00681B2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773F" w14:textId="77777777" w:rsidR="00B124AC" w:rsidRDefault="00B124AC" w:rsidP="00ED2E8E">
      <w:r>
        <w:separator/>
      </w:r>
    </w:p>
  </w:footnote>
  <w:footnote w:type="continuationSeparator" w:id="0">
    <w:p w14:paraId="4E4D48A7" w14:textId="77777777" w:rsidR="00B124AC" w:rsidRDefault="00B124AC" w:rsidP="00ED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89E"/>
    <w:multiLevelType w:val="hybridMultilevel"/>
    <w:tmpl w:val="23329276"/>
    <w:lvl w:ilvl="0" w:tplc="C54A1B1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83ED0"/>
    <w:multiLevelType w:val="multilevel"/>
    <w:tmpl w:val="D87E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AA6A0E"/>
    <w:multiLevelType w:val="hybridMultilevel"/>
    <w:tmpl w:val="D29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wMDMxNTa0NDU1NTJQ0lEKTi0uzszPAykwtKgFAIxV4EMtAAAA"/>
  </w:docVars>
  <w:rsids>
    <w:rsidRoot w:val="0028083D"/>
    <w:rsid w:val="000007CC"/>
    <w:rsid w:val="00006F88"/>
    <w:rsid w:val="0001025D"/>
    <w:rsid w:val="00010C04"/>
    <w:rsid w:val="0001733E"/>
    <w:rsid w:val="000178E6"/>
    <w:rsid w:val="0002507C"/>
    <w:rsid w:val="00026599"/>
    <w:rsid w:val="00031E23"/>
    <w:rsid w:val="00035F87"/>
    <w:rsid w:val="00036191"/>
    <w:rsid w:val="0003750A"/>
    <w:rsid w:val="00037BEA"/>
    <w:rsid w:val="00041F19"/>
    <w:rsid w:val="000421A1"/>
    <w:rsid w:val="00043FE9"/>
    <w:rsid w:val="00044722"/>
    <w:rsid w:val="0005013A"/>
    <w:rsid w:val="00051DD7"/>
    <w:rsid w:val="00057ABF"/>
    <w:rsid w:val="00064A35"/>
    <w:rsid w:val="0006676A"/>
    <w:rsid w:val="00077D72"/>
    <w:rsid w:val="000805A2"/>
    <w:rsid w:val="00083BFC"/>
    <w:rsid w:val="00087F58"/>
    <w:rsid w:val="000935F9"/>
    <w:rsid w:val="00093C3A"/>
    <w:rsid w:val="000946FB"/>
    <w:rsid w:val="00097D64"/>
    <w:rsid w:val="000A49C6"/>
    <w:rsid w:val="000A7421"/>
    <w:rsid w:val="000B5709"/>
    <w:rsid w:val="000C025A"/>
    <w:rsid w:val="000C0CA7"/>
    <w:rsid w:val="000C153A"/>
    <w:rsid w:val="000C4B4E"/>
    <w:rsid w:val="000C5E93"/>
    <w:rsid w:val="000C7C8A"/>
    <w:rsid w:val="000D47D4"/>
    <w:rsid w:val="000E575C"/>
    <w:rsid w:val="000E5B0C"/>
    <w:rsid w:val="000E5EE0"/>
    <w:rsid w:val="000F18A1"/>
    <w:rsid w:val="000F55EB"/>
    <w:rsid w:val="001017A9"/>
    <w:rsid w:val="0010533B"/>
    <w:rsid w:val="00106B00"/>
    <w:rsid w:val="00114035"/>
    <w:rsid w:val="00114AD0"/>
    <w:rsid w:val="00117BBD"/>
    <w:rsid w:val="001231FB"/>
    <w:rsid w:val="00126E6C"/>
    <w:rsid w:val="00136013"/>
    <w:rsid w:val="00141BDB"/>
    <w:rsid w:val="001423C2"/>
    <w:rsid w:val="00152C17"/>
    <w:rsid w:val="00155B1E"/>
    <w:rsid w:val="00164770"/>
    <w:rsid w:val="00171D73"/>
    <w:rsid w:val="001722F8"/>
    <w:rsid w:val="00176416"/>
    <w:rsid w:val="001773F0"/>
    <w:rsid w:val="00181FCC"/>
    <w:rsid w:val="001859AE"/>
    <w:rsid w:val="00185A73"/>
    <w:rsid w:val="001863F2"/>
    <w:rsid w:val="00186AC9"/>
    <w:rsid w:val="00186B09"/>
    <w:rsid w:val="00190646"/>
    <w:rsid w:val="00192251"/>
    <w:rsid w:val="00195F7C"/>
    <w:rsid w:val="001A0DD7"/>
    <w:rsid w:val="001A2B2B"/>
    <w:rsid w:val="001A42D5"/>
    <w:rsid w:val="001A58B2"/>
    <w:rsid w:val="001A6BB4"/>
    <w:rsid w:val="001B4C6A"/>
    <w:rsid w:val="001C3A15"/>
    <w:rsid w:val="001D06F8"/>
    <w:rsid w:val="001D50B0"/>
    <w:rsid w:val="001D7226"/>
    <w:rsid w:val="001E330D"/>
    <w:rsid w:val="001E628B"/>
    <w:rsid w:val="001F186E"/>
    <w:rsid w:val="001F1B0A"/>
    <w:rsid w:val="001F4815"/>
    <w:rsid w:val="00201642"/>
    <w:rsid w:val="00202E68"/>
    <w:rsid w:val="00207F56"/>
    <w:rsid w:val="00230E77"/>
    <w:rsid w:val="00244833"/>
    <w:rsid w:val="0025641B"/>
    <w:rsid w:val="0026333F"/>
    <w:rsid w:val="00265E6B"/>
    <w:rsid w:val="002732CB"/>
    <w:rsid w:val="0027340F"/>
    <w:rsid w:val="0028083D"/>
    <w:rsid w:val="00282A60"/>
    <w:rsid w:val="00283266"/>
    <w:rsid w:val="00290FD3"/>
    <w:rsid w:val="00295875"/>
    <w:rsid w:val="002959BD"/>
    <w:rsid w:val="002A1C6F"/>
    <w:rsid w:val="002A2FDC"/>
    <w:rsid w:val="002A3640"/>
    <w:rsid w:val="002A52AA"/>
    <w:rsid w:val="002A6DEF"/>
    <w:rsid w:val="002B1495"/>
    <w:rsid w:val="002B49BD"/>
    <w:rsid w:val="002B5EF2"/>
    <w:rsid w:val="002B5F15"/>
    <w:rsid w:val="002B7A42"/>
    <w:rsid w:val="002B7C7B"/>
    <w:rsid w:val="002C4EBB"/>
    <w:rsid w:val="002C5BE9"/>
    <w:rsid w:val="002D02AB"/>
    <w:rsid w:val="002D6315"/>
    <w:rsid w:val="002E4973"/>
    <w:rsid w:val="00303606"/>
    <w:rsid w:val="00305FF7"/>
    <w:rsid w:val="0031375B"/>
    <w:rsid w:val="00314DC4"/>
    <w:rsid w:val="00315A2B"/>
    <w:rsid w:val="00315A80"/>
    <w:rsid w:val="00320B07"/>
    <w:rsid w:val="00320C34"/>
    <w:rsid w:val="003265F8"/>
    <w:rsid w:val="0033207E"/>
    <w:rsid w:val="003403CC"/>
    <w:rsid w:val="003507E9"/>
    <w:rsid w:val="00354227"/>
    <w:rsid w:val="00355062"/>
    <w:rsid w:val="00360F75"/>
    <w:rsid w:val="00361079"/>
    <w:rsid w:val="003612F4"/>
    <w:rsid w:val="00361D29"/>
    <w:rsid w:val="00364B5C"/>
    <w:rsid w:val="003714FE"/>
    <w:rsid w:val="003729E6"/>
    <w:rsid w:val="0038238A"/>
    <w:rsid w:val="00382E11"/>
    <w:rsid w:val="00386E92"/>
    <w:rsid w:val="00391F57"/>
    <w:rsid w:val="003945AE"/>
    <w:rsid w:val="00396763"/>
    <w:rsid w:val="003979F5"/>
    <w:rsid w:val="003A3219"/>
    <w:rsid w:val="003C7B4C"/>
    <w:rsid w:val="003D4794"/>
    <w:rsid w:val="003D60B5"/>
    <w:rsid w:val="003D75B6"/>
    <w:rsid w:val="003D77BB"/>
    <w:rsid w:val="003E0B49"/>
    <w:rsid w:val="003E7ABC"/>
    <w:rsid w:val="003F12D1"/>
    <w:rsid w:val="00400F4B"/>
    <w:rsid w:val="00405C93"/>
    <w:rsid w:val="00413B0D"/>
    <w:rsid w:val="004151ED"/>
    <w:rsid w:val="00421445"/>
    <w:rsid w:val="004320ED"/>
    <w:rsid w:val="004440BD"/>
    <w:rsid w:val="0045153B"/>
    <w:rsid w:val="00452A5B"/>
    <w:rsid w:val="00464AFF"/>
    <w:rsid w:val="00465F2B"/>
    <w:rsid w:val="004707E7"/>
    <w:rsid w:val="004759A4"/>
    <w:rsid w:val="00487538"/>
    <w:rsid w:val="00492FE8"/>
    <w:rsid w:val="00494A72"/>
    <w:rsid w:val="004A2DF2"/>
    <w:rsid w:val="004B091D"/>
    <w:rsid w:val="004B510B"/>
    <w:rsid w:val="004B6E08"/>
    <w:rsid w:val="004C7F5A"/>
    <w:rsid w:val="004D1700"/>
    <w:rsid w:val="004D6F58"/>
    <w:rsid w:val="004D7390"/>
    <w:rsid w:val="004E0594"/>
    <w:rsid w:val="004E7CEA"/>
    <w:rsid w:val="004F157F"/>
    <w:rsid w:val="004F54E1"/>
    <w:rsid w:val="0050424B"/>
    <w:rsid w:val="005101F7"/>
    <w:rsid w:val="005105E4"/>
    <w:rsid w:val="0051091D"/>
    <w:rsid w:val="00511D42"/>
    <w:rsid w:val="00525896"/>
    <w:rsid w:val="00525F10"/>
    <w:rsid w:val="00535A84"/>
    <w:rsid w:val="00542AFF"/>
    <w:rsid w:val="00544275"/>
    <w:rsid w:val="005505FF"/>
    <w:rsid w:val="0055068F"/>
    <w:rsid w:val="00555C71"/>
    <w:rsid w:val="00556D31"/>
    <w:rsid w:val="0056370B"/>
    <w:rsid w:val="005653DB"/>
    <w:rsid w:val="005710AD"/>
    <w:rsid w:val="005759D9"/>
    <w:rsid w:val="005822C3"/>
    <w:rsid w:val="0058497A"/>
    <w:rsid w:val="00586F9D"/>
    <w:rsid w:val="00596427"/>
    <w:rsid w:val="005A0744"/>
    <w:rsid w:val="005A0AC0"/>
    <w:rsid w:val="005A1D49"/>
    <w:rsid w:val="005A32EA"/>
    <w:rsid w:val="005A3C7B"/>
    <w:rsid w:val="005A5602"/>
    <w:rsid w:val="005B3382"/>
    <w:rsid w:val="005B5326"/>
    <w:rsid w:val="005C35EC"/>
    <w:rsid w:val="005C59D1"/>
    <w:rsid w:val="005D121D"/>
    <w:rsid w:val="005D1FE4"/>
    <w:rsid w:val="005E511D"/>
    <w:rsid w:val="005E76A7"/>
    <w:rsid w:val="005F24B4"/>
    <w:rsid w:val="00615899"/>
    <w:rsid w:val="006224AD"/>
    <w:rsid w:val="00627384"/>
    <w:rsid w:val="006309A6"/>
    <w:rsid w:val="00641AB1"/>
    <w:rsid w:val="00644860"/>
    <w:rsid w:val="0065152E"/>
    <w:rsid w:val="006559FC"/>
    <w:rsid w:val="00664416"/>
    <w:rsid w:val="00665229"/>
    <w:rsid w:val="00667788"/>
    <w:rsid w:val="00672B8B"/>
    <w:rsid w:val="00674403"/>
    <w:rsid w:val="00681B20"/>
    <w:rsid w:val="006827C7"/>
    <w:rsid w:val="00687814"/>
    <w:rsid w:val="006A2E95"/>
    <w:rsid w:val="006A5E79"/>
    <w:rsid w:val="006C55DF"/>
    <w:rsid w:val="006C630D"/>
    <w:rsid w:val="006D05D3"/>
    <w:rsid w:val="006D1B16"/>
    <w:rsid w:val="006D1FBD"/>
    <w:rsid w:val="006D3D12"/>
    <w:rsid w:val="006D3D57"/>
    <w:rsid w:val="006D5737"/>
    <w:rsid w:val="006E1E7C"/>
    <w:rsid w:val="006E3178"/>
    <w:rsid w:val="006E31D1"/>
    <w:rsid w:val="006E3AD4"/>
    <w:rsid w:val="00705A1B"/>
    <w:rsid w:val="0070774A"/>
    <w:rsid w:val="007200CB"/>
    <w:rsid w:val="007207C4"/>
    <w:rsid w:val="00724BA8"/>
    <w:rsid w:val="0072645E"/>
    <w:rsid w:val="0073106F"/>
    <w:rsid w:val="00731FE0"/>
    <w:rsid w:val="00732EC7"/>
    <w:rsid w:val="00733153"/>
    <w:rsid w:val="00737FF5"/>
    <w:rsid w:val="0074083C"/>
    <w:rsid w:val="007464D1"/>
    <w:rsid w:val="00747248"/>
    <w:rsid w:val="00752301"/>
    <w:rsid w:val="007549C4"/>
    <w:rsid w:val="00756722"/>
    <w:rsid w:val="0075673F"/>
    <w:rsid w:val="00760127"/>
    <w:rsid w:val="00761B36"/>
    <w:rsid w:val="00772565"/>
    <w:rsid w:val="00774899"/>
    <w:rsid w:val="0078415D"/>
    <w:rsid w:val="007967EC"/>
    <w:rsid w:val="00796D7D"/>
    <w:rsid w:val="007B728A"/>
    <w:rsid w:val="007C0BFC"/>
    <w:rsid w:val="007D6FD2"/>
    <w:rsid w:val="007D7115"/>
    <w:rsid w:val="007D7A0E"/>
    <w:rsid w:val="007E54F6"/>
    <w:rsid w:val="007E5E2E"/>
    <w:rsid w:val="007E7CAA"/>
    <w:rsid w:val="007F0AA3"/>
    <w:rsid w:val="0080347B"/>
    <w:rsid w:val="008062C5"/>
    <w:rsid w:val="00806A31"/>
    <w:rsid w:val="00807E93"/>
    <w:rsid w:val="0081049B"/>
    <w:rsid w:val="0081119B"/>
    <w:rsid w:val="0081213D"/>
    <w:rsid w:val="00815C75"/>
    <w:rsid w:val="00822711"/>
    <w:rsid w:val="00830256"/>
    <w:rsid w:val="00837700"/>
    <w:rsid w:val="00841FC3"/>
    <w:rsid w:val="008475A6"/>
    <w:rsid w:val="0084773A"/>
    <w:rsid w:val="0085192C"/>
    <w:rsid w:val="00855C6E"/>
    <w:rsid w:val="00856E2D"/>
    <w:rsid w:val="00863D63"/>
    <w:rsid w:val="00867A52"/>
    <w:rsid w:val="00867F5C"/>
    <w:rsid w:val="00882B84"/>
    <w:rsid w:val="00884989"/>
    <w:rsid w:val="0088702C"/>
    <w:rsid w:val="00887FD1"/>
    <w:rsid w:val="0089058C"/>
    <w:rsid w:val="008940F0"/>
    <w:rsid w:val="0089729A"/>
    <w:rsid w:val="008A6686"/>
    <w:rsid w:val="008A675A"/>
    <w:rsid w:val="008A69BE"/>
    <w:rsid w:val="008A73AF"/>
    <w:rsid w:val="008B036F"/>
    <w:rsid w:val="008B0BA9"/>
    <w:rsid w:val="008B59B7"/>
    <w:rsid w:val="008C6848"/>
    <w:rsid w:val="008C73AB"/>
    <w:rsid w:val="008D09CA"/>
    <w:rsid w:val="008D1129"/>
    <w:rsid w:val="008D725A"/>
    <w:rsid w:val="008E09F8"/>
    <w:rsid w:val="008E3CBB"/>
    <w:rsid w:val="008F3167"/>
    <w:rsid w:val="00910E20"/>
    <w:rsid w:val="00911522"/>
    <w:rsid w:val="00911A0C"/>
    <w:rsid w:val="00911B66"/>
    <w:rsid w:val="009160E4"/>
    <w:rsid w:val="009163E3"/>
    <w:rsid w:val="009176E8"/>
    <w:rsid w:val="00931E9C"/>
    <w:rsid w:val="009329E3"/>
    <w:rsid w:val="00935104"/>
    <w:rsid w:val="00935473"/>
    <w:rsid w:val="009363B3"/>
    <w:rsid w:val="00936666"/>
    <w:rsid w:val="009374BD"/>
    <w:rsid w:val="009604AE"/>
    <w:rsid w:val="00960EF3"/>
    <w:rsid w:val="00962FF2"/>
    <w:rsid w:val="00973842"/>
    <w:rsid w:val="009768B6"/>
    <w:rsid w:val="00977FBB"/>
    <w:rsid w:val="00980F6A"/>
    <w:rsid w:val="00984656"/>
    <w:rsid w:val="00992229"/>
    <w:rsid w:val="009936CC"/>
    <w:rsid w:val="0099798C"/>
    <w:rsid w:val="009B0E99"/>
    <w:rsid w:val="009B1509"/>
    <w:rsid w:val="009B4959"/>
    <w:rsid w:val="009B4FF1"/>
    <w:rsid w:val="009C41B4"/>
    <w:rsid w:val="009C7AAE"/>
    <w:rsid w:val="009D4A9A"/>
    <w:rsid w:val="009D5B0D"/>
    <w:rsid w:val="009D7B47"/>
    <w:rsid w:val="009E2AF7"/>
    <w:rsid w:val="009F0320"/>
    <w:rsid w:val="009F43B7"/>
    <w:rsid w:val="00A00BF3"/>
    <w:rsid w:val="00A047D8"/>
    <w:rsid w:val="00A0680C"/>
    <w:rsid w:val="00A0698A"/>
    <w:rsid w:val="00A10277"/>
    <w:rsid w:val="00A10D07"/>
    <w:rsid w:val="00A144BA"/>
    <w:rsid w:val="00A20517"/>
    <w:rsid w:val="00A341C0"/>
    <w:rsid w:val="00A42F99"/>
    <w:rsid w:val="00A44CED"/>
    <w:rsid w:val="00A519D5"/>
    <w:rsid w:val="00A528FF"/>
    <w:rsid w:val="00A6053F"/>
    <w:rsid w:val="00A771EA"/>
    <w:rsid w:val="00A84F21"/>
    <w:rsid w:val="00A85C90"/>
    <w:rsid w:val="00A87BAB"/>
    <w:rsid w:val="00A87CA3"/>
    <w:rsid w:val="00A903E5"/>
    <w:rsid w:val="00A93E13"/>
    <w:rsid w:val="00A967EC"/>
    <w:rsid w:val="00AA2EE1"/>
    <w:rsid w:val="00AA3CF8"/>
    <w:rsid w:val="00AB3F3E"/>
    <w:rsid w:val="00AD5AD4"/>
    <w:rsid w:val="00AF0040"/>
    <w:rsid w:val="00AF0590"/>
    <w:rsid w:val="00AF3494"/>
    <w:rsid w:val="00AF4EDA"/>
    <w:rsid w:val="00B0394F"/>
    <w:rsid w:val="00B03F85"/>
    <w:rsid w:val="00B124AC"/>
    <w:rsid w:val="00B145BF"/>
    <w:rsid w:val="00B160CA"/>
    <w:rsid w:val="00B22811"/>
    <w:rsid w:val="00B26B06"/>
    <w:rsid w:val="00B31BC7"/>
    <w:rsid w:val="00B57687"/>
    <w:rsid w:val="00B61093"/>
    <w:rsid w:val="00B70B02"/>
    <w:rsid w:val="00B73442"/>
    <w:rsid w:val="00B83F0F"/>
    <w:rsid w:val="00B8481A"/>
    <w:rsid w:val="00B948E3"/>
    <w:rsid w:val="00B96EFE"/>
    <w:rsid w:val="00BB29D0"/>
    <w:rsid w:val="00BD2556"/>
    <w:rsid w:val="00BD25B4"/>
    <w:rsid w:val="00BD61C5"/>
    <w:rsid w:val="00BE17B8"/>
    <w:rsid w:val="00BE4FE5"/>
    <w:rsid w:val="00BE7EC9"/>
    <w:rsid w:val="00C06785"/>
    <w:rsid w:val="00C166A0"/>
    <w:rsid w:val="00C16E3B"/>
    <w:rsid w:val="00C22F26"/>
    <w:rsid w:val="00C23571"/>
    <w:rsid w:val="00C26B53"/>
    <w:rsid w:val="00C27353"/>
    <w:rsid w:val="00C3375F"/>
    <w:rsid w:val="00C37D87"/>
    <w:rsid w:val="00C44A6C"/>
    <w:rsid w:val="00C54E75"/>
    <w:rsid w:val="00C6157E"/>
    <w:rsid w:val="00C62A3C"/>
    <w:rsid w:val="00C8150A"/>
    <w:rsid w:val="00C8452A"/>
    <w:rsid w:val="00C86196"/>
    <w:rsid w:val="00C87659"/>
    <w:rsid w:val="00C90D4C"/>
    <w:rsid w:val="00C9119C"/>
    <w:rsid w:val="00CB4A16"/>
    <w:rsid w:val="00CB7702"/>
    <w:rsid w:val="00CC4909"/>
    <w:rsid w:val="00CC4CE1"/>
    <w:rsid w:val="00CC688A"/>
    <w:rsid w:val="00CD621D"/>
    <w:rsid w:val="00CE0DCA"/>
    <w:rsid w:val="00CF5718"/>
    <w:rsid w:val="00D06C19"/>
    <w:rsid w:val="00D11AF6"/>
    <w:rsid w:val="00D17DCD"/>
    <w:rsid w:val="00D23560"/>
    <w:rsid w:val="00D2600B"/>
    <w:rsid w:val="00D26CED"/>
    <w:rsid w:val="00D31153"/>
    <w:rsid w:val="00D311E2"/>
    <w:rsid w:val="00D34B1B"/>
    <w:rsid w:val="00D46C7F"/>
    <w:rsid w:val="00D5576F"/>
    <w:rsid w:val="00D603F2"/>
    <w:rsid w:val="00D604E2"/>
    <w:rsid w:val="00D62B58"/>
    <w:rsid w:val="00D63038"/>
    <w:rsid w:val="00D65FD9"/>
    <w:rsid w:val="00D6730E"/>
    <w:rsid w:val="00D70F7A"/>
    <w:rsid w:val="00D73702"/>
    <w:rsid w:val="00D75422"/>
    <w:rsid w:val="00D8180F"/>
    <w:rsid w:val="00D950BB"/>
    <w:rsid w:val="00D96C24"/>
    <w:rsid w:val="00DA0F89"/>
    <w:rsid w:val="00DA40A5"/>
    <w:rsid w:val="00DA7968"/>
    <w:rsid w:val="00DB62A0"/>
    <w:rsid w:val="00DB6E56"/>
    <w:rsid w:val="00DB7880"/>
    <w:rsid w:val="00DB7EAF"/>
    <w:rsid w:val="00DC181F"/>
    <w:rsid w:val="00DC226F"/>
    <w:rsid w:val="00DC4DD0"/>
    <w:rsid w:val="00DD61D8"/>
    <w:rsid w:val="00DD63E6"/>
    <w:rsid w:val="00DE37EA"/>
    <w:rsid w:val="00DF0C4C"/>
    <w:rsid w:val="00DF126E"/>
    <w:rsid w:val="00DF501D"/>
    <w:rsid w:val="00E0556E"/>
    <w:rsid w:val="00E10F77"/>
    <w:rsid w:val="00E12BD8"/>
    <w:rsid w:val="00E1339D"/>
    <w:rsid w:val="00E17FCA"/>
    <w:rsid w:val="00E226E3"/>
    <w:rsid w:val="00E333C7"/>
    <w:rsid w:val="00E37E38"/>
    <w:rsid w:val="00E43F8E"/>
    <w:rsid w:val="00E45CA1"/>
    <w:rsid w:val="00E50B43"/>
    <w:rsid w:val="00E60703"/>
    <w:rsid w:val="00E632F9"/>
    <w:rsid w:val="00E723AB"/>
    <w:rsid w:val="00E83643"/>
    <w:rsid w:val="00E847A4"/>
    <w:rsid w:val="00E859DD"/>
    <w:rsid w:val="00E91869"/>
    <w:rsid w:val="00E97C64"/>
    <w:rsid w:val="00EA368F"/>
    <w:rsid w:val="00EA3B13"/>
    <w:rsid w:val="00EB4358"/>
    <w:rsid w:val="00EB6A81"/>
    <w:rsid w:val="00EB7C13"/>
    <w:rsid w:val="00EC1394"/>
    <w:rsid w:val="00EC2954"/>
    <w:rsid w:val="00EC5DDF"/>
    <w:rsid w:val="00ED1D97"/>
    <w:rsid w:val="00ED2E8E"/>
    <w:rsid w:val="00ED3883"/>
    <w:rsid w:val="00EE04F5"/>
    <w:rsid w:val="00EF0BD6"/>
    <w:rsid w:val="00EF52A6"/>
    <w:rsid w:val="00F01A96"/>
    <w:rsid w:val="00F0323C"/>
    <w:rsid w:val="00F077DE"/>
    <w:rsid w:val="00F11901"/>
    <w:rsid w:val="00F17107"/>
    <w:rsid w:val="00F17CB5"/>
    <w:rsid w:val="00F20162"/>
    <w:rsid w:val="00F372D1"/>
    <w:rsid w:val="00F4038E"/>
    <w:rsid w:val="00F41149"/>
    <w:rsid w:val="00F43093"/>
    <w:rsid w:val="00F47831"/>
    <w:rsid w:val="00F6167A"/>
    <w:rsid w:val="00F61C40"/>
    <w:rsid w:val="00F627FB"/>
    <w:rsid w:val="00F63C47"/>
    <w:rsid w:val="00F655E5"/>
    <w:rsid w:val="00F660E9"/>
    <w:rsid w:val="00F67D4F"/>
    <w:rsid w:val="00F75AD6"/>
    <w:rsid w:val="00F87A58"/>
    <w:rsid w:val="00F9519E"/>
    <w:rsid w:val="00FA3963"/>
    <w:rsid w:val="00FA3B62"/>
    <w:rsid w:val="00FA5E8A"/>
    <w:rsid w:val="00FB014D"/>
    <w:rsid w:val="00FB04B5"/>
    <w:rsid w:val="00FC2E8D"/>
    <w:rsid w:val="00FC76F4"/>
    <w:rsid w:val="00FD1FC8"/>
    <w:rsid w:val="00FE0F02"/>
    <w:rsid w:val="00FE5750"/>
    <w:rsid w:val="00FE58C5"/>
    <w:rsid w:val="00FE5DFB"/>
    <w:rsid w:val="00FE6EA2"/>
    <w:rsid w:val="00FF3F7D"/>
    <w:rsid w:val="00FF5412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B6CD4"/>
  <w15:chartTrackingRefBased/>
  <w15:docId w15:val="{9496E4AF-29F7-41DE-9DBE-EF013BA0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60E9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660E9"/>
    <w:pPr>
      <w:spacing w:after="60"/>
      <w:outlineLvl w:val="0"/>
    </w:pPr>
    <w:rPr>
      <w:rFonts w:asciiTheme="majorBidi" w:hAnsiTheme="majorBidi" w:cstheme="majorBidi"/>
      <w:b/>
      <w:bCs/>
      <w:sz w:val="28"/>
    </w:rPr>
  </w:style>
  <w:style w:type="paragraph" w:styleId="Kop2">
    <w:name w:val="heading 2"/>
    <w:basedOn w:val="Paragraph"/>
    <w:next w:val="Standaard"/>
    <w:link w:val="Kop2Char"/>
    <w:uiPriority w:val="9"/>
    <w:unhideWhenUsed/>
    <w:qFormat/>
    <w:rsid w:val="00051DD7"/>
    <w:pPr>
      <w:spacing w:after="60"/>
      <w:ind w:firstLine="0"/>
      <w:outlineLvl w:val="1"/>
    </w:pPr>
    <w:rPr>
      <w:rFonts w:asciiTheme="majorBidi" w:hAnsiTheme="majorBidi" w:cstheme="majorBidi"/>
      <w:i/>
      <w:sz w:val="28"/>
      <w:lang w:val="en-GB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808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60E9"/>
    <w:rPr>
      <w:rFonts w:asciiTheme="majorBidi" w:eastAsia="Times New Roman" w:hAnsiTheme="majorBidi" w:cstheme="majorBidi"/>
      <w:b/>
      <w:bCs/>
      <w:sz w:val="28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051DD7"/>
    <w:rPr>
      <w:rFonts w:asciiTheme="majorBidi" w:eastAsia="Times New Roman" w:hAnsiTheme="majorBidi" w:cstheme="majorBidi"/>
      <w:i/>
      <w:sz w:val="28"/>
      <w:szCs w:val="24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2808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Standaard"/>
    <w:rsid w:val="0028083D"/>
    <w:pPr>
      <w:ind w:firstLine="720"/>
    </w:pPr>
  </w:style>
  <w:style w:type="paragraph" w:customStyle="1" w:styleId="Head">
    <w:name w:val="Head"/>
    <w:basedOn w:val="Standaard"/>
    <w:rsid w:val="0028083D"/>
    <w:pPr>
      <w:keepNext/>
      <w:spacing w:after="120"/>
      <w:jc w:val="center"/>
      <w:outlineLvl w:val="0"/>
    </w:pPr>
    <w:rPr>
      <w:b/>
      <w:bCs/>
      <w:kern w:val="28"/>
      <w:sz w:val="28"/>
      <w:szCs w:val="28"/>
    </w:rPr>
  </w:style>
  <w:style w:type="character" w:styleId="Hyperlink">
    <w:name w:val="Hyperlink"/>
    <w:uiPriority w:val="99"/>
    <w:rsid w:val="0028083D"/>
    <w:rPr>
      <w:color w:val="0000FF"/>
      <w:u w:val="single"/>
    </w:rPr>
  </w:style>
  <w:style w:type="paragraph" w:customStyle="1" w:styleId="Teaser">
    <w:name w:val="Teaser"/>
    <w:basedOn w:val="Standaard"/>
    <w:rsid w:val="0028083D"/>
  </w:style>
  <w:style w:type="paragraph" w:styleId="Bibliografie">
    <w:name w:val="Bibliography"/>
    <w:basedOn w:val="Standaard"/>
    <w:next w:val="Standaard"/>
    <w:uiPriority w:val="37"/>
    <w:unhideWhenUsed/>
    <w:rsid w:val="0028083D"/>
    <w:pPr>
      <w:tabs>
        <w:tab w:val="left" w:pos="504"/>
      </w:tabs>
      <w:ind w:left="504" w:hanging="504"/>
    </w:pPr>
  </w:style>
  <w:style w:type="paragraph" w:customStyle="1" w:styleId="Acknowledgement">
    <w:name w:val="Acknowledgement"/>
    <w:basedOn w:val="Standaard"/>
    <w:rsid w:val="0028083D"/>
    <w:pPr>
      <w:ind w:left="720" w:hanging="720"/>
    </w:pPr>
  </w:style>
  <w:style w:type="table" w:customStyle="1" w:styleId="TableGridLight1">
    <w:name w:val="Table Grid Light1"/>
    <w:basedOn w:val="Standaardtabel"/>
    <w:uiPriority w:val="99"/>
    <w:rsid w:val="0028083D"/>
    <w:pPr>
      <w:spacing w:after="0" w:line="240" w:lineRule="auto"/>
    </w:pPr>
    <w:rPr>
      <w:rFonts w:ascii="Calibri" w:eastAsia="Calibri" w:hAnsi="Calibri" w:cs="Arial"/>
      <w:sz w:val="20"/>
      <w:szCs w:val="20"/>
      <w:lang w:val="nl-NL" w:eastAsia="nl-N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Verwijzingopmerking">
    <w:name w:val="annotation reference"/>
    <w:uiPriority w:val="99"/>
    <w:rsid w:val="0028083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rsid w:val="0028083D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8083D"/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2808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083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83D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Standaardalinea-lettertype"/>
    <w:rsid w:val="0028083D"/>
    <w:rPr>
      <w:rFonts w:ascii="NewCenturySchlbk-Bold" w:hAnsi="NewCenturySchlbk-Bold" w:hint="default"/>
      <w:b/>
      <w:bCs/>
      <w:i w:val="0"/>
      <w:iCs w:val="0"/>
      <w:color w:val="000000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083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08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28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uucc">
    <w:name w:val="s3uucc"/>
    <w:basedOn w:val="Standaardalinea-lettertype"/>
    <w:rsid w:val="0028083D"/>
  </w:style>
  <w:style w:type="character" w:styleId="Nadruk">
    <w:name w:val="Emphasis"/>
    <w:basedOn w:val="Standaardalinea-lettertype"/>
    <w:uiPriority w:val="20"/>
    <w:qFormat/>
    <w:rsid w:val="0028083D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28083D"/>
    <w:pPr>
      <w:spacing w:before="100" w:beforeAutospacing="1" w:after="100" w:afterAutospacing="1"/>
    </w:pPr>
  </w:style>
  <w:style w:type="paragraph" w:styleId="Titel">
    <w:name w:val="Title"/>
    <w:basedOn w:val="Standaard"/>
    <w:next w:val="Standaard"/>
    <w:link w:val="TitelChar"/>
    <w:uiPriority w:val="10"/>
    <w:qFormat/>
    <w:rsid w:val="00F660E9"/>
    <w:pPr>
      <w:spacing w:after="120"/>
      <w:jc w:val="center"/>
    </w:pPr>
    <w:rPr>
      <w:rFonts w:asciiTheme="majorBidi" w:hAnsiTheme="majorBid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F660E9"/>
    <w:rPr>
      <w:rFonts w:asciiTheme="majorBidi" w:eastAsia="Times New Roman" w:hAnsiTheme="majorBidi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Standaardalinea-lettertype"/>
    <w:rsid w:val="00F87A58"/>
  </w:style>
  <w:style w:type="paragraph" w:styleId="Koptekst">
    <w:name w:val="header"/>
    <w:basedOn w:val="Standaard"/>
    <w:link w:val="KoptekstChar"/>
    <w:uiPriority w:val="99"/>
    <w:unhideWhenUsed/>
    <w:rsid w:val="00ED2E8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2E8E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D2E8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2E8E"/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39"/>
    <w:rsid w:val="0068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9519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00CB"/>
    <w:rPr>
      <w:color w:val="605E5C"/>
      <w:shd w:val="clear" w:color="auto" w:fill="E1DFDD"/>
    </w:rPr>
  </w:style>
  <w:style w:type="character" w:styleId="Regelnummer">
    <w:name w:val="line number"/>
    <w:basedOn w:val="Standaardalinea-lettertype"/>
    <w:uiPriority w:val="99"/>
    <w:semiHidden/>
    <w:unhideWhenUsed/>
    <w:rsid w:val="00C9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021796-1E93-4897-A8EC-095E5A1D1304}">
  <we:reference id="wa104380122" version="2.1.0.1" store="en-US" storeType="OMEX"/>
  <we:alternateReferences>
    <we:reference id="wa104380122" version="2.1.0.1" store="WA104380122" storeType="OMEX"/>
  </we:alternateReferences>
  <we:properties>
    <we:property name="citations" value="{&quot;567458481&quot;:{&quot;referencesIds&quot;:[&quot;627&quot;],&quot;referencesOptions&quot;:{&quot;62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567458481},&quot;-1215879869&quot;:{&quot;referencesIds&quot;:[&quot;604&quot;],&quot;referencesOptions&quot;:{&quot;6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215879869}}"/>
    <we:property name="currentStyle" value="{&quot;id&quot;:&quot;16568&quot;,&quot;styleType&quot;:&quot;refworks&quot;,&quot;name&quot;:&quot;Vancouver (STM)&quot;,&quot;isInstitutional&quot;:false,&quot;isSorted&quot;:false,&quot;usesNumbers&quot;:false}"/>
    <we:property name="rcm.version" value="2"/>
    <we:property name="rw.control.unlocked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C76C-4D4B-4C1D-8B52-66975BB3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Hazim Allos</dc:creator>
  <cp:keywords/>
  <dc:description/>
  <cp:lastModifiedBy>Eskandari, S (int)</cp:lastModifiedBy>
  <cp:revision>3</cp:revision>
  <dcterms:created xsi:type="dcterms:W3CDTF">2022-05-24T06:00:00Z</dcterms:created>
  <dcterms:modified xsi:type="dcterms:W3CDTF">2022-05-24T06:01:00Z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id="BuZLu16o"/&gt;&lt;style id="http://www.zotero.org/styles/vancouver" locale="en-US" hasBibliography="1" bibliographyStyleHasBeenSet="1"/&gt;&lt;prefs&gt;&lt;pref name="fieldType" value="Field"/&gt;&lt;/prefs&gt;&lt;/data&gt;</vt:lpwstr>
  </property>
  <property fmtid="{D5CDD505-2E9C-101B-9397-08002B2CF9AE}" pid="3" name="Mendeley Recent Style Id 0_1">
    <vt:lpwstr>http://www.zotero.org/styles/american-sociological-association</vt:lpwstr>
  </property>
  <property fmtid="{D5CDD505-2E9C-101B-9397-08002B2CF9AE}" pid="4" name="Mendeley Recent Style Name 0_1">
    <vt:lpwstr>American Sociological Association 6th edition</vt:lpwstr>
  </property>
  <property fmtid="{D5CDD505-2E9C-101B-9397-08002B2CF9AE}" pid="5" name="Mendeley Recent Style Id 1_1">
    <vt:lpwstr>http://www.zotero.org/styles/chicago-author-date</vt:lpwstr>
  </property>
  <property fmtid="{D5CDD505-2E9C-101B-9397-08002B2CF9AE}" pid="6" name="Mendeley Recent Style Name 1_1">
    <vt:lpwstr>Chicago Manual of Style 17th edition (author-date)</vt:lpwstr>
  </property>
  <property fmtid="{D5CDD505-2E9C-101B-9397-08002B2CF9AE}" pid="7" name="Mendeley Recent Style Id 2_1">
    <vt:lpwstr>http://www.zotero.org/styles/harvard-cite-them-right</vt:lpwstr>
  </property>
  <property fmtid="{D5CDD505-2E9C-101B-9397-08002B2CF9AE}" pid="8" name="Mendeley Recent Style Name 2_1">
    <vt:lpwstr>Cite Them Right 10th edition - Harvard</vt:lpwstr>
  </property>
  <property fmtid="{D5CDD505-2E9C-101B-9397-08002B2CF9AE}" pid="9" name="Mendeley Recent Style Id 3_1">
    <vt:lpwstr>http://www.zotero.org/styles/frontiers-in-immunology</vt:lpwstr>
  </property>
  <property fmtid="{D5CDD505-2E9C-101B-9397-08002B2CF9AE}" pid="10" name="Mendeley Recent Style Name 3_1">
    <vt:lpwstr>Frontiers in Immunology</vt:lpwstr>
  </property>
  <property fmtid="{D5CDD505-2E9C-101B-9397-08002B2CF9AE}" pid="11" name="Mendeley Recent Style Id 4_1">
    <vt:lpwstr>http://www.zotero.org/styles/ieee</vt:lpwstr>
  </property>
  <property fmtid="{D5CDD505-2E9C-101B-9397-08002B2CF9AE}" pid="12" name="Mendeley Recent Style Name 4_1">
    <vt:lpwstr>IEEE</vt:lpwstr>
  </property>
  <property fmtid="{D5CDD505-2E9C-101B-9397-08002B2CF9AE}" pid="13" name="Mendeley Recent Style Id 5_1">
    <vt:lpwstr>http://www.zotero.org/styles/immunity</vt:lpwstr>
  </property>
  <property fmtid="{D5CDD505-2E9C-101B-9397-08002B2CF9AE}" pid="14" name="Mendeley Recent Style Name 5_1">
    <vt:lpwstr>Immunity</vt:lpwstr>
  </property>
  <property fmtid="{D5CDD505-2E9C-101B-9397-08002B2CF9AE}" pid="15" name="Mendeley Recent Style Id 6_1">
    <vt:lpwstr>http://www.zotero.org/styles/journal-of-the-american-society-of-nephrology</vt:lpwstr>
  </property>
  <property fmtid="{D5CDD505-2E9C-101B-9397-08002B2CF9AE}" pid="16" name="Mendeley Recent Style Name 6_1">
    <vt:lpwstr>Journal of the American Society of Nephrology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Citation Style_1">
    <vt:lpwstr>http://www.zotero.org/styles/frontiers-in-immunology</vt:lpwstr>
  </property>
  <property fmtid="{D5CDD505-2E9C-101B-9397-08002B2CF9AE}" pid="25" name="Mendeley Unique User Id_1">
    <vt:lpwstr>a7a33166-ad11-3ac6-8e3d-0382d596c5df</vt:lpwstr>
  </property>
</Properties>
</file>